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4"/>
      </w:pPr>
      <w:r/>
      <w:r/>
    </w:p>
    <w:tbl>
      <w:tblPr>
        <w:tblW w:w="0" w:type="auto"/>
        <w:tblInd w:w="-45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39"/>
        <w:gridCol w:w="849"/>
        <w:gridCol w:w="851"/>
        <w:gridCol w:w="3969"/>
      </w:tblGrid>
      <w:tr>
        <w:tblPrEx/>
        <w:trPr>
          <w:cantSplit/>
          <w:trHeight w:val="168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84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844"/>
              <w:jc w:val="right"/>
              <w:rPr>
                <w:b/>
              </w:rPr>
            </w:pPr>
            <w:r>
              <w:rPr>
                <w:b/>
                <w:sz w:val="26"/>
                <w:szCs w:val="26"/>
              </w:rPr>
              <w:t xml:space="preserve">проект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4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4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 xml:space="preserve">КОМИТЕТ РЕСПУБЛИКИ АДЫГЕЯ ПО 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4"/>
              <w:ind w:left="-108" w:right="-108"/>
              <w:jc w:val="center"/>
            </w:pPr>
            <w:r>
              <w:rPr>
                <w:b/>
              </w:rPr>
              <w:t xml:space="preserve">АРХИТЕКТУРЕ И ГРАДОСТРОИТЕЛЬСТВУ</w:t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pStyle w:val="844"/>
              <w:ind w:left="-109" w:right="-108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4"/>
              <w:ind w:left="-108" w:right="-108"/>
              <w:jc w:val="center"/>
            </w:pPr>
            <w:r/>
            <w:r/>
          </w:p>
        </w:tc>
      </w:tr>
      <w:tr>
        <w:tblPrEx/>
        <w:trPr>
          <w:cantSplit/>
          <w:trHeight w:val="579" w:hRule="exact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488" w:type="dxa"/>
            <w:vAlign w:val="top"/>
            <w:textDirection w:val="lrTb"/>
            <w:noWrap w:val="false"/>
          </w:tcPr>
          <w:p>
            <w:pPr>
              <w:pStyle w:val="844"/>
              <w:ind w:right="742" w:firstLine="33"/>
              <w:jc w:val="center"/>
            </w:pP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844"/>
              <w:ind w:firstLine="885"/>
              <w:jc w:val="center"/>
            </w:pPr>
            <w:r/>
            <w:r/>
          </w:p>
        </w:tc>
      </w:tr>
      <w:tr>
        <w:tblPrEx/>
        <w:trPr>
          <w:cantSplit/>
          <w:trHeight w:val="276" w:hRule="exact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844"/>
              <w:jc w:val="center"/>
            </w:pP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0" w:type="dxa"/>
            <w:vAlign w:val="bottom"/>
            <w:textDirection w:val="lrTb"/>
            <w:noWrap w:val="false"/>
          </w:tcPr>
          <w:p>
            <w:pPr>
              <w:pStyle w:val="844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4"/>
              <w:jc w:val="center"/>
            </w:pPr>
            <w:r/>
            <w:r/>
          </w:p>
        </w:tc>
      </w:tr>
      <w:tr>
        <w:tblPrEx/>
        <w:trPr>
          <w:cantSplit/>
          <w:trHeight w:val="563" w:hRule="exact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844"/>
              <w:jc w:val="center"/>
            </w:pPr>
            <w:r/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00" w:type="dxa"/>
            <w:vAlign w:val="top"/>
            <w:textDirection w:val="lrTb"/>
            <w:noWrap w:val="false"/>
          </w:tcPr>
          <w:p>
            <w:pPr>
              <w:pStyle w:val="844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44"/>
              <w:jc w:val="center"/>
            </w:pPr>
            <w:r/>
            <w:r/>
          </w:p>
        </w:tc>
      </w:tr>
    </w:tbl>
    <w:p>
      <w:pPr>
        <w:pStyle w:val="844"/>
        <w:ind w:left="-709"/>
        <w:jc w:val="center"/>
        <w:rPr>
          <w:sz w:val="4"/>
        </w:rPr>
      </w:pPr>
      <w:r>
        <w:rPr>
          <w:sz w:val="4"/>
        </w:rPr>
      </w:r>
      <w:r>
        <w:rPr>
          <w:sz w:val="4"/>
        </w:rPr>
      </w:r>
      <w:r>
        <w:rPr>
          <w:sz w:val="4"/>
        </w:rPr>
      </w:r>
    </w:p>
    <w:p>
      <w:pPr>
        <w:pStyle w:val="850"/>
        <w:ind w:left="3600" w:firstLine="0"/>
        <w:spacing w:before="0" w:after="0"/>
        <w:rPr>
          <w:sz w:val="28"/>
          <w:szCs w:val="28"/>
        </w:rPr>
      </w:pPr>
      <w:r>
        <w:rPr>
          <w:rFonts w:ascii="Times New Roman" w:hAnsi="Times New Roman" w:cs="Times New Roman"/>
          <w:bCs/>
          <w:i w:val="0"/>
          <w:sz w:val="28"/>
          <w:szCs w:val="28"/>
        </w:rPr>
        <w:t xml:space="preserve">П Р И К А З № ______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rPr>
          <w:sz w:val="26"/>
          <w:szCs w:val="26"/>
        </w:rPr>
      </w:pPr>
      <w:r>
        <w:rPr>
          <w:sz w:val="28"/>
          <w:szCs w:val="28"/>
        </w:rPr>
        <w:t xml:space="preserve">«__» ________ 2026 года                                                                     г. Майкоп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73"/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44"/>
        <w:jc w:val="center"/>
        <w:rPr>
          <w:sz w:val="26"/>
          <w:szCs w:val="26"/>
        </w:rPr>
      </w:pPr>
      <w:r>
        <w:rPr>
          <w:b/>
          <w:bCs/>
          <w:sz w:val="28"/>
          <w:szCs w:val="28"/>
        </w:rPr>
        <w:t xml:space="preserve">О внесении изменений в </w:t>
      </w:r>
      <w:bookmarkStart w:id="0" w:name="_Hlk108094310"/>
      <w:r>
        <w:rPr>
          <w:b/>
          <w:bCs/>
          <w:sz w:val="28"/>
          <w:szCs w:val="28"/>
        </w:rPr>
        <w:t xml:space="preserve">Правила землепользования и застройки муниципального образов</w:t>
      </w:r>
      <w:r>
        <w:rPr>
          <w:b/>
          <w:bCs/>
          <w:sz w:val="28"/>
          <w:szCs w:val="28"/>
        </w:rPr>
        <w:t xml:space="preserve">ания</w:t>
      </w:r>
      <w:r>
        <w:rPr>
          <w:b/>
          <w:bCs/>
          <w:sz w:val="28"/>
          <w:szCs w:val="28"/>
        </w:rPr>
        <w:t xml:space="preserve"> </w:t>
      </w:r>
      <w:bookmarkEnd w:id="0"/>
      <w:r/>
      <w:bookmarkStart w:id="1" w:name="_Hlk113379893"/>
      <w:r>
        <w:rPr>
          <w:b/>
          <w:bCs/>
          <w:sz w:val="28"/>
          <w:szCs w:val="28"/>
        </w:rPr>
        <w:t xml:space="preserve">«Городской округ «Город Майкоп»</w:t>
      </w:r>
      <w:r>
        <w:rPr>
          <w:b/>
          <w:bCs/>
          <w:sz w:val="28"/>
          <w:szCs w:val="28"/>
        </w:rPr>
        <w:t xml:space="preserve">, утвержденные Решением Совета народных депутатов муниципального образования «Город Майкоп» от 28.10.2011 № 377-рс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4"/>
        <w:jc w:val="center"/>
        <w:rPr>
          <w:sz w:val="26"/>
          <w:szCs w:val="26"/>
        </w:rPr>
      </w:pPr>
      <w:r/>
      <w:bookmarkEnd w:id="1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4"/>
        <w:ind w:firstLine="540"/>
        <w:jc w:val="both"/>
        <w:rPr>
          <w:sz w:val="28"/>
          <w:szCs w:val="28"/>
        </w:rPr>
      </w:pPr>
      <w:r>
        <w:rPr>
          <w:rFonts w:eastAsia="SimSun"/>
          <w:bCs/>
          <w:iCs/>
          <w:sz w:val="28"/>
          <w:szCs w:val="28"/>
        </w:rPr>
        <w:t xml:space="preserve">В соответствии со статьями 32, 33 Градостроительного кодекса Российской Федерации, пунктом 2 статьи 2 Закона Республики Адыгея</w:t>
      </w:r>
      <w:r>
        <w:rPr>
          <w:rFonts w:eastAsia="SimSun"/>
          <w:bCs/>
          <w:iCs/>
          <w:sz w:val="28"/>
          <w:szCs w:val="28"/>
        </w:rPr>
        <w:t xml:space="preserve"> от 4 августа </w:t>
      </w:r>
      <w:r>
        <w:rPr>
          <w:rFonts w:eastAsia="SimSun"/>
          <w:bCs/>
          <w:iCs/>
          <w:sz w:val="28"/>
          <w:szCs w:val="28"/>
        </w:rPr>
        <w:t xml:space="preserve">2021 г. № 490 «О перераспределении отдельных полномочий в области градостроительной деятельности между органами местного самоуправления и органами государственной власти Республики Адыгея», подпунктом 32 пункта 1 раздела III Положения о Комитете Республики</w:t>
      </w:r>
      <w:r>
        <w:rPr>
          <w:rFonts w:eastAsia="SimSun"/>
          <w:bCs/>
          <w:iCs/>
          <w:sz w:val="28"/>
          <w:szCs w:val="28"/>
        </w:rPr>
        <w:t xml:space="preserve"> Адыгея по архитектуре и градостроительству, утвержденного постановлением Кабинета Министров Республики Адыгея от 4 июня     2007 г. № 94, приказываю: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numPr>
          <w:ilvl w:val="0"/>
          <w:numId w:val="4"/>
        </w:numPr>
        <w:ind w:left="0" w:firstLine="682"/>
        <w:jc w:val="both"/>
        <w:rPr>
          <w:rFonts w:eastAsia="SimSun"/>
          <w:bCs/>
          <w:iCs/>
          <w:sz w:val="28"/>
          <w:szCs w:val="28"/>
        </w:rPr>
      </w:pPr>
      <w:r>
        <w:rPr>
          <w:sz w:val="28"/>
          <w:szCs w:val="28"/>
        </w:rPr>
        <w:t xml:space="preserve">Внести в правила землепользования и застройки муниципального образ</w:t>
      </w:r>
      <w:r>
        <w:rPr>
          <w:sz w:val="28"/>
          <w:szCs w:val="28"/>
        </w:rPr>
        <w:t xml:space="preserve">ования </w:t>
      </w:r>
      <w:r>
        <w:rPr>
          <w:sz w:val="28"/>
          <w:szCs w:val="28"/>
        </w:rPr>
        <w:t xml:space="preserve">«Городской округ «Город Майкоп»</w:t>
      </w:r>
      <w:r>
        <w:rPr>
          <w:sz w:val="28"/>
          <w:szCs w:val="28"/>
        </w:rPr>
        <w:t xml:space="preserve">, утвержденные Решением Совета народных депутатов муниципального образования «Город Майкоп» от 28.10.2011 № 377-рс</w:t>
      </w:r>
      <w:r>
        <w:rPr>
          <w:sz w:val="28"/>
          <w:szCs w:val="28"/>
        </w:rPr>
        <w:t xml:space="preserve"> (далее – Правила)</w:t>
      </w:r>
      <w:r>
        <w:rPr>
          <w:sz w:val="28"/>
          <w:szCs w:val="28"/>
        </w:rPr>
        <w:t xml:space="preserve">, </w:t>
      </w:r>
      <w:r>
        <w:rPr>
          <w:rFonts w:eastAsia="SimSun"/>
          <w:bCs/>
          <w:iCs/>
          <w:sz w:val="28"/>
          <w:szCs w:val="28"/>
        </w:rPr>
        <w:t xml:space="preserve">следующие изменения:</w:t>
      </w:r>
      <w:r>
        <w:rPr>
          <w:rFonts w:eastAsia="SimSun"/>
          <w:bCs/>
          <w:iCs/>
          <w:sz w:val="28"/>
          <w:szCs w:val="28"/>
        </w:rPr>
      </w:r>
      <w:r>
        <w:rPr>
          <w:rFonts w:eastAsia="SimSun"/>
          <w:bCs/>
          <w:iCs/>
          <w:sz w:val="28"/>
          <w:szCs w:val="28"/>
        </w:rPr>
      </w:r>
    </w:p>
    <w:p>
      <w:pPr>
        <w:ind w:left="0" w:right="0" w:firstLine="68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eastAsia="SimSun"/>
          <w:bCs/>
          <w:iCs/>
          <w:sz w:val="28"/>
          <w:szCs w:val="28"/>
          <w:highlight w:val="none"/>
        </w:rPr>
        <w:t xml:space="preserve">1) </w:t>
      </w:r>
      <w:r>
        <w:rPr>
          <w:rFonts w:ascii="Times New Roman" w:hAnsi="Times New Roman" w:eastAsia="Times New Roman" w:cs="Times New Roman"/>
          <w:bCs/>
          <w:iCs/>
          <w:color w:val="auto"/>
          <w:sz w:val="28"/>
          <w:szCs w:val="28"/>
          <w:highlight w:val="none"/>
        </w:rPr>
        <w:t xml:space="preserve">В наименовании, преамбуле и по всему тексту Правил слова </w:t>
      </w:r>
      <w:r>
        <w:rPr>
          <w:rFonts w:ascii="Times New Roman" w:hAnsi="Times New Roman" w:eastAsia="Times New Roman" w:cs="Times New Roman"/>
          <w:color w:val="auto"/>
          <w:sz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auto"/>
          <w:sz w:val="28"/>
          <w:highlight w:val="white"/>
        </w:rPr>
        <w:t xml:space="preserve">муниципальное образование «Город Майкоп»» заменить словами </w:t>
      </w:r>
      <w:r>
        <w:rPr>
          <w:rFonts w:ascii="Times New Roman" w:hAnsi="Times New Roman" w:eastAsia="Times New Roman" w:cs="Times New Roman"/>
          <w:color w:val="auto"/>
          <w:sz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муниципальное образ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ование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«Городской округ «Город Майкоп»</w:t>
      </w:r>
      <w:r>
        <w:rPr>
          <w:rFonts w:ascii="Times New Roman" w:hAnsi="Times New Roman" w:eastAsia="Times New Roman" w:cs="Times New Roman"/>
          <w:color w:val="auto"/>
          <w:sz w:val="28"/>
          <w:highlight w:val="none"/>
        </w:rPr>
        <w:t xml:space="preserve">» в соответствующем падеже</w:t>
      </w:r>
      <w:r>
        <w:rPr>
          <w:rFonts w:ascii="Times New Roman" w:hAnsi="Times New Roman" w:eastAsia="Times New Roman" w:cs="Times New Roman"/>
          <w:bCs/>
          <w:iCs/>
          <w:color w:val="auto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844"/>
        <w:ind w:left="0" w:right="0" w:firstLine="709"/>
        <w:jc w:val="both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eastAsia="SimSun"/>
          <w:bCs/>
          <w:iCs/>
          <w:sz w:val="28"/>
          <w:szCs w:val="28"/>
        </w:rPr>
        <w:t xml:space="preserve">2)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в статье 33 Правил: </w:t>
      </w:r>
      <w:r>
        <w:rPr>
          <w:rFonts w:eastAsia="SimSun"/>
          <w:iCs/>
          <w:sz w:val="28"/>
          <w:szCs w:val="28"/>
        </w:rPr>
      </w:r>
    </w:p>
    <w:p>
      <w:pPr>
        <w:ind w:left="0" w:right="0" w:firstLine="709"/>
        <w:jc w:val="both"/>
        <w:rPr>
          <w:rFonts w:eastAsia="SimSu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а) в столбце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» таблицы пункта 7.1 части 7 вида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[4.6] – Общественное питание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» слова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максимальное количество надземных этажей зданий - 4 этажа (включая мансардный этаж);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заменить словами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максимальное количество надземных этажей зданий - 6 этажей (включая мансардный этаж);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»;</w:t>
      </w:r>
      <w:r>
        <w:rPr>
          <w:rFonts w:eastAsia="SimSun"/>
          <w:bCs/>
          <w:iCs/>
          <w:sz w:val="28"/>
          <w:szCs w:val="28"/>
        </w:rPr>
      </w:r>
      <w:r/>
    </w:p>
    <w:p>
      <w:pPr>
        <w:ind w:left="0" w:right="0" w:firstLine="709"/>
        <w:jc w:val="both"/>
        <w:rPr>
          <w:rFonts w:eastAsia="SimSun"/>
          <w:sz w:val="28"/>
          <w:szCs w:val="28"/>
          <w:highlight w:val="none"/>
        </w:rPr>
      </w:pPr>
      <w:r>
        <w:rPr>
          <w:rFonts w:eastAsia="SimSun"/>
          <w:bCs/>
          <w:iCs/>
          <w:sz w:val="28"/>
          <w:szCs w:val="28"/>
          <w:highlight w:val="none"/>
        </w:rPr>
        <w:t xml:space="preserve">б)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в столбце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» таблицы пункта 7.1 части 7 вида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[4.4] – Магазины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» слова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максимальное количество надземных этажей зданий - 3 этажа (включая мансардный этаж);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заменить словами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максимальное количество надземных этажей зданий - 6 этажей (включая мансардный этаж);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»;</w:t>
      </w:r>
      <w:r/>
      <w:r>
        <w:rPr>
          <w:rFonts w:eastAsia="SimSun"/>
          <w:bCs/>
          <w:iCs/>
          <w:sz w:val="28"/>
          <w:szCs w:val="28"/>
          <w:highlight w:val="none"/>
        </w:rPr>
      </w:r>
      <w:r>
        <w:rPr>
          <w:rFonts w:eastAsia="SimSun"/>
          <w:bCs/>
          <w:iCs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bCs/>
          <w:iCs/>
          <w:sz w:val="28"/>
          <w:szCs w:val="28"/>
          <w:highlight w:val="none"/>
        </w:rPr>
        <w:t xml:space="preserve">в)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в столбце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» таблицы пункта 7.1 части 7 вида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[5.1] – Спорт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» слова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максимальное количество надземных этажей зданий - 3 этажа (включая мансардный этаж);</w:t>
      </w:r>
      <w:r>
        <w:rPr>
          <w:rFonts w:ascii="Times New Roman" w:hAnsi="Times New Roman" w:eastAsia="Times New Roman" w:cs="Times New Roman"/>
          <w:bCs/>
          <w:iCs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заменить словами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максимальное количество надземных этажей зданий - 6 этажей (включая мансардный этаж);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»;</w:t>
      </w:r>
      <w:r/>
      <w:r>
        <w:rPr>
          <w:rFonts w:eastAsia="SimSun"/>
          <w:bCs/>
          <w:iCs/>
          <w:sz w:val="28"/>
          <w:szCs w:val="28"/>
          <w:highlight w:val="none"/>
        </w:rPr>
      </w:r>
      <w:r>
        <w:rPr>
          <w:rFonts w:eastAsia="SimSun"/>
          <w:bCs/>
          <w:iCs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bCs/>
          <w:iCs/>
          <w:sz w:val="28"/>
          <w:szCs w:val="28"/>
        </w:rPr>
        <w:t xml:space="preserve">г) </w:t>
      </w:r>
      <w:r>
        <w:rPr>
          <w:rFonts w:eastAsia="SimSun"/>
          <w:bCs/>
          <w:iCs/>
          <w:sz w:val="28"/>
          <w:szCs w:val="28"/>
        </w:rPr>
        <w:t xml:space="preserve">дополнить частью 9 следующего содержания:</w:t>
      </w:r>
      <w:r>
        <w:rPr>
          <w:rFonts w:eastAsia="SimSun"/>
          <w:bCs/>
          <w:iCs/>
          <w:sz w:val="28"/>
          <w:szCs w:val="28"/>
        </w:rPr>
      </w:r>
      <w:r/>
    </w:p>
    <w:p>
      <w:pPr>
        <w:ind w:left="0" w:right="0" w:firstLine="608"/>
        <w:jc w:val="both"/>
        <w:rPr>
          <w:rFonts w:eastAsia="SimSun"/>
          <w:sz w:val="28"/>
          <w:szCs w:val="28"/>
          <w:highlight w:val="none"/>
        </w:rPr>
      </w:pPr>
      <w:r>
        <w:rPr>
          <w:rFonts w:eastAsia="SimSun"/>
          <w:bCs/>
          <w:iCs/>
          <w:sz w:val="28"/>
          <w:szCs w:val="28"/>
          <w:highlight w:val="none"/>
        </w:rPr>
        <w:t xml:space="preserve">«</w:t>
      </w:r>
      <w:r>
        <w:rPr>
          <w:rFonts w:eastAsia="SimSun"/>
          <w:b/>
          <w:bCs/>
          <w:iCs/>
          <w:sz w:val="28"/>
          <w:szCs w:val="28"/>
          <w:highlight w:val="none"/>
        </w:rPr>
        <w:t xml:space="preserve">9. Ж-ОЖ1. Зона многоэтажной жилой застройки с размещением объектов общественно-делового назначения</w:t>
      </w:r>
      <w:r>
        <w:rPr>
          <w:rFonts w:eastAsia="SimSun"/>
          <w:sz w:val="28"/>
          <w:szCs w:val="28"/>
          <w:highlight w:val="none"/>
        </w:rPr>
      </w:r>
      <w:r>
        <w:rPr>
          <w:rFonts w:eastAsia="SimSun"/>
          <w:sz w:val="28"/>
          <w:szCs w:val="28"/>
          <w:highlight w:val="none"/>
        </w:rPr>
      </w:r>
    </w:p>
    <w:p>
      <w:pPr>
        <w:ind w:left="0" w:right="0" w:firstLine="608"/>
        <w:jc w:val="both"/>
        <w:rPr>
          <w:rFonts w:eastAsia="SimSun"/>
          <w:sz w:val="28"/>
          <w:szCs w:val="28"/>
          <w:highlight w:val="none"/>
        </w:rPr>
      </w:pPr>
      <w:r>
        <w:rPr>
          <w:rFonts w:eastAsia="SimSun"/>
          <w:bCs/>
          <w:iCs/>
          <w:sz w:val="28"/>
          <w:szCs w:val="28"/>
          <w:highlight w:val="none"/>
        </w:rPr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она Ж - ОЖ1 выделена для </w:t>
      </w:r>
      <w:r>
        <w:rPr>
          <w:sz w:val="28"/>
          <w:szCs w:val="28"/>
        </w:rPr>
        <w:t xml:space="preserve">обеспечения правовых условий формирования районов с многоквартирными многоэтажными жилыми домами 9-24 этажей, с </w:t>
      </w:r>
      <w:r>
        <w:rPr>
          <w:sz w:val="28"/>
          <w:szCs w:val="28"/>
        </w:rPr>
        <w:t xml:space="preserve">широким спектром коммерческих и обслуживающих функций, ориентированных на удовлетворение повседневных и периодических потребностей населения.</w:t>
      </w:r>
      <w:r>
        <w:rPr>
          <w:rFonts w:eastAsia="SimSun"/>
          <w:sz w:val="28"/>
          <w:szCs w:val="28"/>
          <w:highlight w:val="none"/>
        </w:rPr>
      </w:r>
      <w:r>
        <w:rPr>
          <w:rFonts w:eastAsia="SimSun"/>
          <w:sz w:val="28"/>
          <w:szCs w:val="28"/>
          <w:highlight w:val="none"/>
        </w:rPr>
      </w:r>
    </w:p>
    <w:p>
      <w:pPr>
        <w:ind w:left="0" w:right="0" w:firstLine="608"/>
        <w:jc w:val="both"/>
        <w:rPr>
          <w:rFonts w:eastAsia="SimSun"/>
          <w:b/>
          <w:bCs/>
          <w:sz w:val="28"/>
          <w:szCs w:val="28"/>
          <w:highlight w:val="none"/>
        </w:rPr>
      </w:pPr>
      <w:r>
        <w:rPr>
          <w:rFonts w:eastAsia="SimSun"/>
          <w:b/>
          <w:bCs/>
          <w:iCs/>
          <w:sz w:val="28"/>
          <w:szCs w:val="28"/>
          <w:highlight w:val="none"/>
        </w:rPr>
        <w:t xml:space="preserve">9.1 </w:t>
      </w:r>
      <w:r>
        <w:rPr>
          <w:rStyle w:val="1052"/>
          <w:b/>
          <w:bCs/>
          <w:sz w:val="28"/>
          <w:szCs w:val="28"/>
        </w:rPr>
        <w:t xml:space="preserve">Основные виды ра</w:t>
      </w:r>
      <w:r>
        <w:rPr>
          <w:rStyle w:val="1052"/>
          <w:b/>
          <w:bCs/>
          <w:sz w:val="28"/>
          <w:szCs w:val="28"/>
        </w:rPr>
        <w:t xml:space="preserve">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eastAsia="SimSun"/>
          <w:b/>
          <w:bCs/>
          <w:sz w:val="28"/>
          <w:szCs w:val="28"/>
          <w:highlight w:val="none"/>
        </w:rPr>
      </w:r>
      <w:r>
        <w:rPr>
          <w:rFonts w:eastAsia="SimSun"/>
          <w:b/>
          <w:bCs/>
          <w:sz w:val="28"/>
          <w:szCs w:val="28"/>
          <w:highlight w:val="none"/>
        </w:rPr>
      </w:r>
    </w:p>
    <w:tbl>
      <w:tblPr>
        <w:tblW w:w="0" w:type="auto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3402"/>
        <w:gridCol w:w="3553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70"/>
              <w:jc w:val="center"/>
            </w:pPr>
            <w:r/>
            <w:bookmarkStart w:id="0" w:name="undefined"/>
            <w:r>
              <w:t xml:space="preserve">Виды разрешенного использования земельных участков в соответствии с классификатором видов разрешенного использования</w:t>
            </w:r>
            <w:bookmarkEnd w:id="0"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Описание вида разрешенного использования земельного участка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  <w:r/>
          </w:p>
        </w:tc>
      </w:tr>
    </w:tbl>
    <w:tbl>
      <w:tblPr>
        <w:tblW w:w="0" w:type="auto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3368"/>
        <w:gridCol w:w="3577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[2.6] - Многоэтажная жилая застройка (высотная застройка)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Многоквартирные многоэтажные жилые дома;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Возможно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</w:t>
            </w:r>
            <w:r>
              <w:rPr>
                <w:rFonts w:ascii="Times New Roman" w:hAnsi="Times New Roman" w:eastAsia="Times New Roman" w:cs="Times New Roman"/>
              </w:rPr>
              <w:t xml:space="preserve">общей площади помещений дома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- 2400 кв. м/600000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- 24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- 24 этажа (включая мансардный </w:t>
            </w:r>
            <w:r>
              <w:rPr>
                <w:rFonts w:ascii="Times New Roman" w:hAnsi="Times New Roman" w:eastAsia="Times New Roman" w:cs="Times New Roman"/>
              </w:rPr>
              <w:t xml:space="preserve">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- 40%;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минимальное количество надземных этажей зданий - 9 этажей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[3.5.1] - Дошкольное, начальное и среднее общее образование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- 400/не подлежит ограничению;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- 25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- 4 этажа;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- 40%;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[4.1] - Деловое управление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капитального строительства управленческой деятельности, не связанной с </w:t>
            </w:r>
            <w:r>
              <w:rPr>
                <w:rFonts w:ascii="Times New Roman" w:hAnsi="Times New Roman" w:eastAsia="Times New Roman" w:cs="Times New Roman"/>
              </w:rPr>
              <w:t xml:space="preserve">государственным или муниципальным управлением и оказанием услуг,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- 400/5000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- 25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- 4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- 60%;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[4.6] - Общественное питание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капитального строительства, предназначены для устройства мест общественного питания (рестораны, кафе, столовые, закусочные, бары)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- 100 кв. м/5000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- 10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- 4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[3.3] - Бытовое обслуживание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Мастерские мелкого ремонта, ателье, бани, парикмахерские, приемные пункты прачечных и химчисток;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- 100/5000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- 12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 максимальное количество надземных этажей зданий - 3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[3.4.1] - Амбулаторно-поликлиническое обслуживание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Поликлиники, фельдшерские пункты, пункты здравоохранения, молочные кухни;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- 300/5000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- 12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- 4 этажа;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[5.1] - Спорт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Здания физкультурно-оздоровительных клубов и фитнес-центров, теннисные корты, бассейны, площадки для занятия спортом и физкультурой (беговые дорожки, спортивные сооружения, поля для спортивной игры);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- 300/250000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- 12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- 3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[4.4] - Магазины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капитального строительства, предназначенные для продажи товаров, в том числе аптеки, торговая площадь которых составляет до 5000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- 250/5000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</w:t>
            </w:r>
            <w:r>
              <w:rPr>
                <w:rFonts w:ascii="Times New Roman" w:hAnsi="Times New Roman" w:eastAsia="Times New Roman" w:cs="Times New Roman"/>
              </w:rPr>
              <w:t xml:space="preserve">(проезда) - 10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- 3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[12.0] - Земельные участки (территории) общего пользования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Земельные участки общего пользования. Содержание данного вида разрешенного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использования включает в себя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содержание видов разрешенного использования с кодами [12.0.1] и [12.0.2]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Регламенты не устанавливаются.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Использование земельных участков, </w:t>
            </w:r>
            <w:r>
              <w:rPr>
                <w:rFonts w:ascii="Times New Roman" w:hAnsi="Times New Roman" w:eastAsia="Times New Roman" w:cs="Times New Roman"/>
              </w:rPr>
              <w:t xml:space="preserve">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органами исполнительной власти </w:t>
            </w:r>
            <w:r>
              <w:rPr>
                <w:rFonts w:ascii="Times New Roman" w:hAnsi="Times New Roman" w:eastAsia="Times New Roman" w:cs="Times New Roman"/>
              </w:rPr>
              <w:t xml:space="preserve">субъектов Российской Федерации или уполномоченными органами местного самоуправления в соответствии с федеральными законами.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[3.1] - Коммунальное обслуживание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капитального строительства для обеспечения физических и юридических лиц коммунальными услугами, в частности: поставки воды, тепла, элект</w:t>
            </w:r>
            <w:r>
              <w:rPr>
                <w:rFonts w:ascii="Times New Roman" w:hAnsi="Times New Roman" w:eastAsia="Times New Roman" w:cs="Times New Roman"/>
              </w:rPr>
              <w:t xml:space="preserve">ричества, газа, предоставления услуг связи, отвода канализационных стоков, очистки и уборки объектов недвижимости (котельные, водозаборы, очистные сооружения, насосные станции, водопроводы, линии электропередач, трансформаторные подстанции, газопроводы, ли</w:t>
            </w:r>
            <w:r>
              <w:rPr>
                <w:rFonts w:ascii="Times New Roman" w:hAnsi="Times New Roman" w:eastAsia="Times New Roman" w:cs="Times New Roman"/>
              </w:rPr>
              <w:t xml:space="preserve">нии связи, телефонные станции, канализации, стоянки, гаражи и мастерские для обслуживания уборочной и аварийной техники, а также здания или помещения, предназначенные для приема физических и юридических лиц в связи с предоставлением им коммунальных услуг).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vMerge w:val="restart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- 10 кв. </w:t>
            </w:r>
            <w:r>
              <w:rPr>
                <w:rFonts w:ascii="Times New Roman" w:hAnsi="Times New Roman" w:eastAsia="Times New Roman" w:cs="Times New Roman"/>
              </w:rPr>
              <w:t xml:space="preserve">м/не</w:t>
            </w:r>
            <w:r>
              <w:rPr>
                <w:rFonts w:ascii="Times New Roman" w:hAnsi="Times New Roman" w:eastAsia="Times New Roman" w:cs="Times New Roman"/>
              </w:rPr>
              <w:t xml:space="preserve"> подлежит ограничению;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- 4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- 1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- 2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максимальная высота строений, сооружений от уровня земли - 20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[12.0.1] - Улично-дорожная сеть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r>
              <w:rPr>
                <w:rFonts w:ascii="Times New Roman" w:hAnsi="Times New Roman" w:eastAsia="Times New Roman" w:cs="Times New Roman"/>
              </w:rPr>
              <w:t xml:space="preserve">велотранспортной</w:t>
            </w:r>
            <w:r>
              <w:rPr>
                <w:rFonts w:ascii="Times New Roman" w:hAnsi="Times New Roman" w:eastAsia="Times New Roman" w:cs="Times New Roman"/>
              </w:rPr>
              <w:t xml:space="preserve"> и инженерной инфраструктуры; размещение придо</w:t>
            </w:r>
            <w:r>
              <w:rPr>
                <w:rFonts w:ascii="Times New Roman" w:hAnsi="Times New Roman" w:eastAsia="Times New Roman" w:cs="Times New Roman"/>
              </w:rPr>
              <w:t xml:space="preserve">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Регламенты не устанавливаются.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</w:t>
            </w:r>
            <w:r>
              <w:rPr>
                <w:rFonts w:ascii="Times New Roman" w:hAnsi="Times New Roman" w:eastAsia="Times New Roman" w:cs="Times New Roman"/>
              </w:rPr>
              <w:t xml:space="preserve">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[12.0.2] - Благоустройство территории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Размещение декоративных, технических, планировочных, конструктивных устройств, эле</w:t>
            </w:r>
            <w:r>
              <w:rPr>
                <w:rFonts w:ascii="Times New Roman" w:hAnsi="Times New Roman" w:eastAsia="Times New Roman" w:cs="Times New Roman"/>
              </w:rPr>
              <w:t xml:space="preserve">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Регламенты не устанавливаются.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</w:t>
            </w:r>
            <w:r>
              <w:rPr>
                <w:rFonts w:ascii="Times New Roman" w:hAnsi="Times New Roman" w:eastAsia="Times New Roman" w:cs="Times New Roman"/>
              </w:rPr>
              <w:t xml:space="preserve">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[5.1.3] - Площадки для занятий спортом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6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77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- 50/5000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0" w:right="0" w:firstLine="608"/>
        <w:jc w:val="both"/>
        <w:rPr>
          <w:rFonts w:eastAsia="SimSun"/>
          <w:sz w:val="28"/>
          <w:szCs w:val="28"/>
          <w:highlight w:val="none"/>
        </w:rPr>
      </w:pPr>
      <w:r>
        <w:rPr>
          <w:rFonts w:eastAsia="SimSun"/>
          <w:b/>
          <w:bCs/>
          <w:iCs/>
          <w:sz w:val="28"/>
          <w:szCs w:val="28"/>
          <w:highlight w:val="none"/>
        </w:rPr>
        <w:t xml:space="preserve">9.2. </w:t>
      </w:r>
      <w:r>
        <w:rPr>
          <w:rStyle w:val="1052"/>
          <w:bCs/>
          <w:sz w:val="28"/>
          <w:szCs w:val="28"/>
        </w:rPr>
        <w:t xml:space="preserve">Условно разреш</w:t>
      </w:r>
      <w:r>
        <w:rPr>
          <w:rStyle w:val="1052"/>
          <w:bCs/>
          <w:sz w:val="28"/>
          <w:szCs w:val="28"/>
        </w:rPr>
        <w:t xml:space="preserve">енные виды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eastAsia="SimSun"/>
          <w:sz w:val="28"/>
          <w:szCs w:val="28"/>
          <w:highlight w:val="none"/>
        </w:rPr>
      </w:r>
      <w:r>
        <w:rPr>
          <w:rFonts w:eastAsia="SimSun"/>
          <w:sz w:val="28"/>
          <w:szCs w:val="28"/>
          <w:highlight w:val="none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028"/>
        <w:gridCol w:w="3402"/>
        <w:gridCol w:w="3553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28" w:type="dxa"/>
            <w:textDirection w:val="lrTb"/>
            <w:noWrap w:val="false"/>
          </w:tcPr>
          <w:p>
            <w:pPr>
              <w:pStyle w:val="1070"/>
              <w:jc w:val="center"/>
            </w:pPr>
            <w:r/>
            <w:bookmarkStart w:id="0" w:name="undefined"/>
            <w:r>
              <w:t xml:space="preserve">Виды разрешенного использования земельных участков в соответствии с классификатором видов разрешенного использования</w:t>
            </w:r>
            <w:bookmarkEnd w:id="0"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Описание вида разрешенного использования земельного участка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2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[8.3] - Обеспечение внутреннего правопорядка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капитального строительства, необходимы для подготовки и поддержания в готовности органов внутренних дел и спасательных служб, в которых существует военизированная </w:t>
            </w:r>
            <w:r>
              <w:rPr>
                <w:rFonts w:ascii="Times New Roman" w:hAnsi="Times New Roman" w:eastAsia="Times New Roman" w:cs="Times New Roman"/>
              </w:rPr>
              <w:t xml:space="preserve">служба;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гражданской обороны, за исключением объектов гражданской обороны, являющихся частями производственных зданий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- 10 кв. </w:t>
            </w:r>
            <w:r>
              <w:rPr>
                <w:rFonts w:ascii="Times New Roman" w:hAnsi="Times New Roman" w:eastAsia="Times New Roman" w:cs="Times New Roman"/>
              </w:rPr>
              <w:t xml:space="preserve">м/не</w:t>
            </w:r>
            <w:r>
              <w:rPr>
                <w:rFonts w:ascii="Times New Roman" w:hAnsi="Times New Roman" w:eastAsia="Times New Roman" w:cs="Times New Roman"/>
              </w:rPr>
              <w:t xml:space="preserve"> подлежит ограничению;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</w:t>
            </w:r>
            <w:r>
              <w:rPr>
                <w:rFonts w:ascii="Times New Roman" w:hAnsi="Times New Roman" w:eastAsia="Times New Roman" w:cs="Times New Roman"/>
              </w:rPr>
              <w:t xml:space="preserve">(проезда) - 4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- 1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- 2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максимальная высота строений, сооружений от уровня земли - 20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2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[6.8] - Связь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связи, радиовещания, телевидения, включая воздушные радиорелейные, надземные и подземные кабельные линии связи</w:t>
            </w:r>
            <w:r>
              <w:rPr>
                <w:rFonts w:ascii="Times New Roman" w:hAnsi="Times New Roman" w:eastAsia="Times New Roman" w:cs="Times New Roman"/>
              </w:rPr>
              <w:t xml:space="preserve">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- 10 кв. м/1000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- 4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- 1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- 3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максимальная высота строений, сооружений от уровня земли - 100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</w:t>
            </w:r>
            <w:r>
              <w:rPr>
                <w:rFonts w:ascii="Times New Roman" w:hAnsi="Times New Roman" w:eastAsia="Times New Roman" w:cs="Times New Roman"/>
              </w:rPr>
              <w:t xml:space="preserve">в границах земельного участка - 80%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rPr>
          <w:sz w:val="28"/>
          <w:szCs w:val="28"/>
        </w:rPr>
      </w:pPr>
      <w:r>
        <w:rPr>
          <w:rStyle w:val="1052"/>
          <w:bCs/>
          <w:sz w:val="28"/>
          <w:szCs w:val="28"/>
        </w:rPr>
        <w:t xml:space="preserve">9.3. Вспомогательные виды разрешенного использования земельных участков и объектов капитального строительства, допустимые только в к</w:t>
      </w:r>
      <w:r>
        <w:rPr>
          <w:rStyle w:val="1052"/>
          <w:bCs/>
          <w:sz w:val="28"/>
          <w:szCs w:val="28"/>
        </w:rPr>
        <w:t xml:space="preserve">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строительства, реконструкции объектов капитального строительства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288"/>
        <w:gridCol w:w="3691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288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Виды разрешенного использования земельных участков и объектов капитального строительства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1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Предельные параметры разрешенного строительства, реконструкции объектов капитального строительства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288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Виды разрешенного использования земельных участков - аналогичны видам разрешенного использования земельных участков с основными и условно разрешенными видами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Для всех видов объектов с основными и условно разрешенными видами использовани</w:t>
            </w:r>
            <w:r>
              <w:rPr>
                <w:rFonts w:ascii="Times New Roman" w:hAnsi="Times New Roman" w:eastAsia="Times New Roman" w:cs="Times New Roman"/>
              </w:rPr>
              <w:t xml:space="preserve">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</w:t>
            </w:r>
            <w:r>
              <w:rPr>
                <w:rFonts w:ascii="Times New Roman" w:hAnsi="Times New Roman" w:eastAsia="Times New Roman" w:cs="Times New Roman"/>
              </w:rPr>
              <w:t xml:space="preserve">документами, в том числе: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объекты коммунального хозяйства (электро-, тепло-, газо-,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проезды общего 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благоустроенные, в том числе озелененные территории, детские площадки, площадки для отдыха, спортивных занятий;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постройки хозяйственного назначения (летние кухни, хозяйственные постройки, кладовые, подвалы, бани, бассейны, теплицы, оранжереи, навесы) индивидуального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площадки хозяйственные, в том числе площадки для мусоросборников и выгула собак;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общественные туалеты, надворные туалеты, гидронепроницаемые выгребы, септики;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объекты, обеспечивающие общественную безопасность и безопасность объектов основных и условно разрешенных видов использования, включая противопожарную;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1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участков, минимальная ширина земельных участков вдоль фронта улицы (проезда) - аналогичны, параметрам разрешенного строительства, реконструкции объектов с основными и условно разрешенными видами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</w:t>
            </w:r>
            <w:r>
              <w:rPr>
                <w:rFonts w:ascii="Times New Roman" w:hAnsi="Times New Roman" w:eastAsia="Times New Roman" w:cs="Times New Roman"/>
              </w:rPr>
              <w:t xml:space="preserve">нт застройки в границах земельного участка, максимальная высота строений, сооружений от уровня земли - аналогичны, параметрам разрешенного строительства, реконструкции объектов с основными и условно разрешенными видами использования, с условием применения </w:t>
            </w:r>
            <w:r>
              <w:rPr>
                <w:rFonts w:ascii="Times New Roman" w:hAnsi="Times New Roman" w:eastAsia="Times New Roman" w:cs="Times New Roman"/>
              </w:rPr>
              <w:t xml:space="preserve">понижающего коэффициента 0,5 (если иное не оговорено отдельно);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- 1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- 2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требования в части максимальной высоты, установленные настоящими Правилами, не распространяются на антенны, вентиляционные и дымовые трубы;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r/>
      <w:r/>
    </w:p>
    <w:p>
      <w:pPr>
        <w:jc w:val="both"/>
        <w:rPr>
          <w:sz w:val="28"/>
          <w:szCs w:val="28"/>
        </w:rPr>
      </w:pPr>
      <w:r>
        <w:rPr>
          <w:rStyle w:val="1052"/>
          <w:bCs/>
          <w:sz w:val="28"/>
          <w:szCs w:val="28"/>
        </w:rPr>
        <w:t xml:space="preserve">9.4. Иные предельные параметры разрешенного строительства, реконструкции объектов капитального строительства: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9.4.1. </w:t>
      </w:r>
      <w:r>
        <w:rPr>
          <w:sz w:val="28"/>
          <w:szCs w:val="28"/>
        </w:rPr>
        <w:t xml:space="preserve">Расстояние до красной линии улиц/проездов, в случае если красная линия не установлена от границы земельного участка с общественной территории улицы/проезда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 дошкольных образовательных учреждений и общеобразовательных школ (стены здания) - 10 м/10 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 пожарных депо - 10 м/10 м (15 м/15 м - для депо I типа);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 жилых и общественных зданий - 5 м/3 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 остальных зданий и сооружений - 5 м/3 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от постоянных отдельно стоящих и пристроенных гаражей, предназначенных для хранения личного автотранспорта граждан - 0 м/0 м (без устройства распашных ворот);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при реконструкции существующих объектов недвижимости, расположенных по красной линии, - 0 м/0 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  <w:t xml:space="preserve">7) для объектов капитального строительства вида [3.1] - Коммунальное обслуживание - 0 м/0 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9.4.2. В целях формирования архитектурно-художественного облика застройки муниципального образования «Городской округ «Город Майкоп» цветовое решение фасадов общественных зданий, многоквартирных домов, выходящих фасадами на улицы, подлежит согласованию с </w:t>
      </w:r>
      <w:r>
        <w:rPr>
          <w:sz w:val="28"/>
          <w:szCs w:val="28"/>
        </w:rPr>
        <w:t xml:space="preserve">УАиГ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</w:t>
      </w:r>
      <w:r>
        <w:rPr>
          <w:sz w:val="28"/>
          <w:szCs w:val="28"/>
        </w:rPr>
        <w:t xml:space="preserve">3. Размещение и архитектурный облик культовых объектов, мемориальных комплексов, объектов монументального искусства, многоквартирных домов, объектов производственного и гражданского назначения (проектирование и строительство которых финансируются из респуб</w:t>
      </w:r>
      <w:r>
        <w:rPr>
          <w:sz w:val="28"/>
          <w:szCs w:val="28"/>
        </w:rPr>
        <w:t xml:space="preserve">ликанского бюджет</w:t>
      </w:r>
      <w:r>
        <w:rPr>
          <w:sz w:val="28"/>
          <w:szCs w:val="28"/>
        </w:rPr>
        <w:t xml:space="preserve">а Республики Адыгея), а также объектов, оказывающих влияние на градостроительную ситуацию в муниципальном образовании «Городской округ «Город Майкоп», подлежит рассмотрению на заседании Совета по вопросам архитектуры и градостроительства Республики Адыгея.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  <w:t xml:space="preserve">9.4.4. 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</w:t>
      </w:r>
      <w:r>
        <w:rPr>
          <w:sz w:val="28"/>
          <w:szCs w:val="28"/>
        </w:rPr>
        <w:t xml:space="preserve">приквартирных</w:t>
      </w:r>
      <w:r>
        <w:rPr>
          <w:sz w:val="28"/>
          <w:szCs w:val="28"/>
        </w:rPr>
        <w:t xml:space="preserve"> участков.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9.4.5. Расстояние от площадок с контейнерами для сбора твердых бытовых отходов до окон жилых домов, границ участков детских, лечебных учреждений, мест отдыха должны быть не менее 8 м, и не более 100 м. Общее количество контейнеров не более 5 шт.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9.4.6. Все здания, строения и сооружения должны быть обеспечены системами водоотведения с кровли, с целью предотвращения подтопления соседних земельных участков и строений.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9.4.7.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9.4.8. 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- 1 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9.4.9. Изменение общего рельефа земельного участка, осуществляемое путем выемки и</w:t>
      </w:r>
      <w:r>
        <w:rPr>
          <w:sz w:val="28"/>
          <w:szCs w:val="28"/>
        </w:rPr>
        <w:t xml:space="preserve">ли насыпи земли, ведущее к изменению существующей водоотводной (дренажной) системы, к заболачиванию (переувлажнению) смежных участков или нарушению иных законных прав их владельцев, не допускается. При необходимости изменения рельефа должны быть выполнены </w:t>
      </w:r>
      <w:r>
        <w:rPr>
          <w:sz w:val="28"/>
          <w:szCs w:val="28"/>
        </w:rPr>
        <w:t xml:space="preserve">мероприятия по недопущению возможных негативных последствий.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9.4.10.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</w:t>
      </w:r>
      <w:r>
        <w:rPr>
          <w:sz w:val="28"/>
          <w:szCs w:val="28"/>
        </w:rPr>
        <w:t xml:space="preserve">ысотой ограждений 2,0 м. (кроме объектов со специальными требованиями к ограждению их территории). По границе с соседним земельным участком ограждения должны быть проветриваемыми на высоту не менее 0,5 м от уровня земли ограждения и высотой не более 2,0 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.4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11. Для всех видов разрешенного использования земельных участков зоны средне и многоэтажной жилой застройки с размещением объектов общественно-делового назначения Ж - ОЖ1 максимальный процент застройки подземной части в границах земельного участка - 90%.»;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ind w:left="567" w:right="0" w:firstLine="0"/>
        <w:jc w:val="both"/>
        <w:rPr>
          <w:rFonts w:eastAsia="SimSun"/>
          <w:bCs/>
          <w:iCs/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rFonts w:eastAsia="SimSun"/>
          <w:bCs/>
          <w:iCs/>
          <w:sz w:val="28"/>
          <w:szCs w:val="28"/>
        </w:rPr>
        <w:t xml:space="preserve">Статью 34 </w:t>
      </w:r>
      <w:r>
        <w:rPr>
          <w:rFonts w:eastAsia="SimSun"/>
          <w:bCs/>
          <w:iCs/>
          <w:sz w:val="28"/>
          <w:szCs w:val="28"/>
        </w:rPr>
        <w:t xml:space="preserve">Правил</w:t>
      </w:r>
      <w:r>
        <w:rPr>
          <w:rFonts w:eastAsia="SimSun"/>
          <w:bCs/>
          <w:iCs/>
          <w:sz w:val="28"/>
          <w:szCs w:val="28"/>
        </w:rPr>
        <w:t xml:space="preserve"> дополнить частью 4 следующего содержания:</w:t>
      </w:r>
      <w:r>
        <w:rPr>
          <w:rFonts w:eastAsia="SimSun"/>
          <w:bCs/>
          <w:iCs/>
          <w:sz w:val="28"/>
          <w:szCs w:val="28"/>
        </w:rPr>
      </w:r>
      <w:r>
        <w:rPr>
          <w:rFonts w:eastAsia="SimSun"/>
          <w:bCs/>
          <w:iCs/>
          <w:sz w:val="28"/>
          <w:szCs w:val="28"/>
        </w:rPr>
      </w:r>
    </w:p>
    <w:p>
      <w:pPr>
        <w:ind w:left="0" w:right="0" w:firstLine="608"/>
        <w:jc w:val="both"/>
        <w:rPr>
          <w:rFonts w:eastAsia="SimSun"/>
          <w:sz w:val="28"/>
          <w:szCs w:val="28"/>
          <w:highlight w:val="none"/>
        </w:rPr>
      </w:pPr>
      <w:r>
        <w:rPr>
          <w:rFonts w:eastAsia="SimSun"/>
          <w:bCs/>
          <w:iCs/>
          <w:sz w:val="28"/>
          <w:szCs w:val="28"/>
          <w:highlight w:val="none"/>
        </w:rPr>
        <w:t xml:space="preserve">«</w:t>
      </w:r>
      <w:r>
        <w:rPr>
          <w:rFonts w:eastAsia="SimSun"/>
          <w:b/>
          <w:bCs/>
          <w:iCs/>
          <w:sz w:val="28"/>
          <w:szCs w:val="28"/>
          <w:highlight w:val="none"/>
        </w:rPr>
        <w:t xml:space="preserve">4. ОД-4. Зона </w:t>
      </w:r>
      <w:r>
        <w:rPr>
          <w:rFonts w:eastAsia="SimSun"/>
          <w:b/>
          <w:bCs/>
          <w:iCs/>
          <w:sz w:val="28"/>
          <w:szCs w:val="28"/>
          <w:highlight w:val="none"/>
        </w:rPr>
        <w:t xml:space="preserve">общественного назначения</w:t>
      </w:r>
      <w:r>
        <w:rPr>
          <w:rFonts w:eastAsia="SimSun"/>
          <w:b/>
          <w:bCs/>
          <w:iCs/>
          <w:sz w:val="28"/>
          <w:szCs w:val="28"/>
          <w:highlight w:val="none"/>
        </w:rPr>
        <w:t xml:space="preserve"> с размещением объектов жилого назначения</w:t>
      </w:r>
      <w:r>
        <w:rPr>
          <w:rFonts w:eastAsia="SimSun"/>
          <w:sz w:val="28"/>
          <w:szCs w:val="28"/>
          <w:highlight w:val="none"/>
        </w:rPr>
      </w:r>
      <w:r>
        <w:rPr>
          <w:rFonts w:eastAsia="SimSun"/>
          <w:sz w:val="28"/>
          <w:szCs w:val="28"/>
          <w:highlight w:val="none"/>
        </w:rPr>
      </w:r>
    </w:p>
    <w:p>
      <w:pPr>
        <w:ind w:left="0" w:right="0" w:firstLine="608"/>
        <w:jc w:val="both"/>
        <w:rPr>
          <w:rFonts w:eastAsia="SimSun"/>
          <w:sz w:val="28"/>
          <w:szCs w:val="28"/>
          <w:highlight w:val="none"/>
        </w:rPr>
      </w:pPr>
      <w:r>
        <w:rPr>
          <w:rFonts w:eastAsia="SimSun"/>
          <w:bCs/>
          <w:iCs/>
          <w:sz w:val="28"/>
          <w:szCs w:val="28"/>
          <w:highlight w:val="none"/>
        </w:rPr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она ОД-4 выделена </w:t>
      </w:r>
      <w:r>
        <w:rPr>
          <w:sz w:val="28"/>
          <w:szCs w:val="28"/>
        </w:rPr>
        <w:t xml:space="preserve">для обеспечения правовых условий использования и строительства объектов недвижимости культурного назначения с возможностью размещения объектов жилищного строительства.</w:t>
      </w:r>
      <w:r>
        <w:rPr>
          <w:rFonts w:eastAsia="SimSun"/>
          <w:sz w:val="28"/>
          <w:szCs w:val="28"/>
          <w:highlight w:val="none"/>
        </w:rPr>
      </w:r>
      <w:r>
        <w:rPr>
          <w:rFonts w:eastAsia="SimSun"/>
          <w:sz w:val="28"/>
          <w:szCs w:val="28"/>
          <w:highlight w:val="none"/>
        </w:rPr>
      </w:r>
    </w:p>
    <w:p>
      <w:pPr>
        <w:ind w:left="0" w:right="0" w:firstLine="608"/>
        <w:jc w:val="both"/>
        <w:rPr>
          <w:rFonts w:eastAsia="SimSun"/>
          <w:b/>
          <w:bCs/>
          <w:sz w:val="28"/>
          <w:szCs w:val="28"/>
          <w:highlight w:val="none"/>
        </w:rPr>
      </w:pPr>
      <w:r>
        <w:rPr>
          <w:rFonts w:eastAsia="SimSun"/>
          <w:b/>
          <w:bCs/>
          <w:iCs/>
          <w:sz w:val="28"/>
          <w:szCs w:val="28"/>
          <w:highlight w:val="none"/>
        </w:rPr>
        <w:t xml:space="preserve">4.1 </w:t>
      </w:r>
      <w:r>
        <w:rPr>
          <w:rStyle w:val="1052"/>
          <w:b/>
          <w:bCs/>
          <w:sz w:val="28"/>
          <w:szCs w:val="28"/>
        </w:rPr>
        <w:t xml:space="preserve">Основные виды ра</w:t>
      </w:r>
      <w:r>
        <w:rPr>
          <w:rStyle w:val="1052"/>
          <w:b/>
          <w:bCs/>
          <w:sz w:val="28"/>
          <w:szCs w:val="28"/>
        </w:rPr>
        <w:t xml:space="preserve">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eastAsia="SimSun"/>
          <w:b/>
          <w:bCs/>
          <w:sz w:val="28"/>
          <w:szCs w:val="28"/>
          <w:highlight w:val="none"/>
        </w:rPr>
      </w:r>
      <w:r>
        <w:rPr>
          <w:rFonts w:eastAsia="SimSun"/>
          <w:b/>
          <w:bCs/>
          <w:sz w:val="28"/>
          <w:szCs w:val="28"/>
          <w:highlight w:val="none"/>
        </w:rPr>
      </w:r>
    </w:p>
    <w:tbl>
      <w:tblPr>
        <w:tblW w:w="0" w:type="auto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663"/>
        <w:gridCol w:w="2723"/>
        <w:gridCol w:w="3695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63" w:type="dxa"/>
            <w:textDirection w:val="lrTb"/>
            <w:noWrap w:val="false"/>
          </w:tcPr>
          <w:p>
            <w:pPr>
              <w:pStyle w:val="10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Виды разрешенного использования земельных участков в соответствии с классификатором видов разрешенного использования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3" w:type="dxa"/>
            <w:textDirection w:val="lrTb"/>
            <w:noWrap w:val="false"/>
          </w:tcPr>
          <w:p>
            <w:pPr>
              <w:pStyle w:val="10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Описание вида разрешенного использования земельного участка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5" w:type="dxa"/>
            <w:textDirection w:val="lrTb"/>
            <w:noWrap w:val="false"/>
          </w:tcPr>
          <w:p>
            <w:pPr>
              <w:pStyle w:val="10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6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[3.6] - Культурное </w:t>
            </w:r>
            <w:r>
              <w:rPr>
                <w:rFonts w:ascii="Times New Roman" w:hAnsi="Times New Roman" w:eastAsia="Times New Roman" w:cs="Times New Roman"/>
              </w:rPr>
              <w:t xml:space="preserve">развитие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капитального </w:t>
            </w:r>
            <w:r>
              <w:rPr>
                <w:rFonts w:ascii="Times New Roman" w:hAnsi="Times New Roman" w:eastAsia="Times New Roman" w:cs="Times New Roman"/>
              </w:rPr>
              <w:t xml:space="preserve">строительства, предназначенные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устройство площадок для празднеств и гуляний;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здания и сооружения для размещения цирков, зверинцев, зоопарков, океанариумов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5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</w:t>
            </w:r>
            <w:r>
              <w:rPr>
                <w:rFonts w:ascii="Times New Roman" w:hAnsi="Times New Roman" w:eastAsia="Times New Roman" w:cs="Times New Roman"/>
              </w:rPr>
              <w:t xml:space="preserve">площадь земельных участков - 400 кв. м/10000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- 20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- 5 этажей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tbl>
      <w:tblPr>
        <w:tblW w:w="0" w:type="auto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663"/>
        <w:gridCol w:w="2723"/>
        <w:gridCol w:w="3695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6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[2.1] - Для индивидуального жилищного строительства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Отдельно стоящие индивидуальные жилые дома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5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- 12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при разделе существующих земельных участков - 8,5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- 3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 площади участка до 1000 кв. м - 60%;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 площади участка свыше 1000 кв. м - 40%;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63" w:type="dxa"/>
            <w:vMerge w:val="restart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293" w:name="sub_60120"/>
            <w:r>
              <w:rPr>
                <w:rFonts w:ascii="Times New Roman" w:hAnsi="Times New Roman" w:eastAsia="Times New Roman" w:cs="Times New Roman"/>
              </w:rPr>
              <w:t xml:space="preserve">[3.1] - Коммунальное обслуживание</w:t>
            </w:r>
            <w:bookmarkEnd w:id="293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3" w:type="dxa"/>
            <w:vMerge w:val="restart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капитального строительства для обеспечения физических и юридических лиц коммунальными услугами, в частности: поставки воды, тепла, элект</w:t>
            </w:r>
            <w:r>
              <w:rPr>
                <w:rFonts w:ascii="Times New Roman" w:hAnsi="Times New Roman" w:eastAsia="Times New Roman" w:cs="Times New Roman"/>
              </w:rPr>
              <w:t xml:space="preserve">ричества, газа, предоставления услуг связи, отвода канализационных стоков, очистки и уборки объектов недвижимости (котельные, водозаборы, очистные сооружения, насосные станции, водопроводы, линии электропередач, трансформаторные подстанции, газопроводы, ли</w:t>
            </w:r>
            <w:r>
              <w:rPr>
                <w:rFonts w:ascii="Times New Roman" w:hAnsi="Times New Roman" w:eastAsia="Times New Roman" w:cs="Times New Roman"/>
              </w:rPr>
              <w:t xml:space="preserve">нии связи, телефонные станции, канализации, стоянки, гаражи и мастерские для обслуживания уборочной и аварийной техники, а также здания или помещения, предназначенные для приема физических и юридических лиц в связи с предоставлением им коммунальных услуг).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5" w:type="dxa"/>
            <w:vMerge w:val="restart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 кв. м/10000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- 1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- 3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максимальная высота строений, сооружений от уровня земли - 20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tbl>
      <w:tblPr>
        <w:tblW w:w="0" w:type="auto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663"/>
        <w:gridCol w:w="2723"/>
        <w:gridCol w:w="3695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6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[12.0] - Земельные участки (территории) общего пользования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2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[12.0.1] и [12.0.2]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5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Регламенты не устанавливаются.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</w:t>
            </w:r>
            <w:r>
              <w:rPr>
                <w:rFonts w:ascii="Times New Roman" w:hAnsi="Times New Roman" w:eastAsia="Times New Roman" w:cs="Times New Roman"/>
              </w:rPr>
              <w:t xml:space="preserve">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tbl>
      <w:tblPr>
        <w:tblW w:w="0" w:type="auto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693"/>
        <w:gridCol w:w="3695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[12.0.1] - Улично-дорожная сеть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r>
              <w:rPr>
                <w:rFonts w:ascii="Times New Roman" w:hAnsi="Times New Roman" w:eastAsia="Times New Roman" w:cs="Times New Roman"/>
              </w:rPr>
              <w:t xml:space="preserve">велотранспортной</w:t>
            </w:r>
            <w:r>
              <w:rPr>
                <w:rFonts w:ascii="Times New Roman" w:hAnsi="Times New Roman" w:eastAsia="Times New Roman" w:cs="Times New Roman"/>
              </w:rPr>
              <w:t xml:space="preserve"> и инженерной инфраструктуры; размещение придо</w:t>
            </w:r>
            <w:r>
              <w:rPr>
                <w:rFonts w:ascii="Times New Roman" w:hAnsi="Times New Roman" w:eastAsia="Times New Roman" w:cs="Times New Roman"/>
              </w:rPr>
              <w:t xml:space="preserve">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5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Регламенты не устанавливаются.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</w:t>
            </w:r>
            <w:r>
              <w:rPr>
                <w:rFonts w:ascii="Times New Roman" w:hAnsi="Times New Roman" w:eastAsia="Times New Roman" w:cs="Times New Roman"/>
              </w:rPr>
              <w:t xml:space="preserve">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[12.0.2] - Благоустройство </w:t>
            </w:r>
            <w:r>
              <w:rPr>
                <w:rFonts w:ascii="Times New Roman" w:hAnsi="Times New Roman" w:eastAsia="Times New Roman" w:cs="Times New Roman"/>
              </w:rPr>
              <w:t xml:space="preserve">территории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Размещение декоративных, технических, планировочных, </w:t>
            </w:r>
            <w:r>
              <w:rPr>
                <w:rFonts w:ascii="Times New Roman" w:hAnsi="Times New Roman" w:eastAsia="Times New Roman" w:cs="Times New Roman"/>
              </w:rPr>
              <w:t xml:space="preserve">конструктивных устройств, эле</w:t>
            </w:r>
            <w:r>
              <w:rPr>
                <w:rFonts w:ascii="Times New Roman" w:hAnsi="Times New Roman" w:eastAsia="Times New Roman" w:cs="Times New Roman"/>
              </w:rPr>
              <w:t xml:space="preserve">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5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Регламенты не устанавливаются.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Использование земельных участков, </w:t>
            </w:r>
            <w:r>
              <w:rPr>
                <w:rFonts w:ascii="Times New Roman" w:hAnsi="Times New Roman" w:eastAsia="Times New Roman" w:cs="Times New Roman"/>
              </w:rPr>
              <w:t xml:space="preserve">на которые действие градостроительных регламентов не распространяется или для которых градостроительные регламенты не устан</w:t>
            </w:r>
            <w:r>
              <w:rPr>
                <w:rFonts w:ascii="Times New Roman" w:hAnsi="Times New Roman" w:eastAsia="Times New Roman" w:cs="Times New Roman"/>
              </w:rPr>
              <w:t xml:space="preserve">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rStyle w:val="1052"/>
          <w:bCs/>
          <w:sz w:val="28"/>
          <w:szCs w:val="28"/>
        </w:rPr>
        <w:t xml:space="preserve">4.2. Условно разреш</w:t>
      </w:r>
      <w:r>
        <w:rPr>
          <w:rStyle w:val="1052"/>
          <w:bCs/>
          <w:sz w:val="28"/>
          <w:szCs w:val="28"/>
        </w:rPr>
        <w:t xml:space="preserve">енные виды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595"/>
        <w:gridCol w:w="2693"/>
        <w:gridCol w:w="3695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595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Виды разрешенного использования земельных участков в соответствии с классификатором видов разрешенного использования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Описание вида разрешенного использования земельного участка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5" w:type="dxa"/>
            <w:textDirection w:val="lrTb"/>
            <w:noWrap w:val="false"/>
          </w:tcPr>
          <w:p>
            <w:pPr>
              <w:pStyle w:val="1070"/>
              <w:ind w:left="0" w:right="-10" w:firstLine="0"/>
              <w:jc w:val="center"/>
            </w:pPr>
            <w:r>
      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595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не устанавливаются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не устанавливаются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5" w:type="dxa"/>
            <w:textDirection w:val="lrTb"/>
            <w:noWrap w:val="false"/>
          </w:tcPr>
          <w:p>
            <w:pPr>
              <w:pStyle w:val="1070"/>
              <w:ind w:left="0" w:right="1213" w:firstLine="0"/>
              <w:jc w:val="center"/>
            </w:pPr>
            <w:r>
              <w:t xml:space="preserve">не устанавливаются</w:t>
            </w:r>
            <w:r/>
          </w:p>
        </w:tc>
      </w:tr>
    </w:tbl>
    <w:p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rStyle w:val="1052"/>
          <w:bCs/>
          <w:sz w:val="28"/>
          <w:szCs w:val="28"/>
        </w:rPr>
        <w:t xml:space="preserve">4.3. Вспомогательные виды разрешенного использования земельных участков и объектов капитального строительства, допустимые только в к</w:t>
      </w:r>
      <w:r>
        <w:rPr>
          <w:rStyle w:val="1052"/>
          <w:bCs/>
          <w:sz w:val="28"/>
          <w:szCs w:val="28"/>
        </w:rPr>
        <w:t xml:space="preserve">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строительства, реконструкции объектов капитального строительства</w:t>
      </w:r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tbl>
      <w:tblPr>
        <w:tblW w:w="0" w:type="auto"/>
        <w:tblInd w:w="-1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386"/>
        <w:gridCol w:w="3960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1070"/>
              <w:contextualSpacing w:val="0"/>
              <w:jc w:val="left"/>
              <w:keepLines/>
              <w:keepNext/>
              <w:suppressLineNumbers w:val="0"/>
            </w:pPr>
            <w:r>
              <w:t xml:space="preserve">Виды разрешенного использования земельных участков и объектов капитального строительства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Предельные параметры разрешенного строительства, реконструкции объектов капитального строительства</w:t>
            </w:r>
            <w:r/>
          </w:p>
        </w:tc>
      </w:tr>
      <w:tr>
        <w:tblPrEx/>
        <w:trPr>
          <w:trHeight w:val="949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1069"/>
              <w:contextualSpacing w:val="0"/>
              <w:jc w:val="left"/>
              <w:keepLines/>
              <w:keepNext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Виды разрешенного использования земельных участков аналогичны видам разрешенного использования земельных участков с основными и условно разрешенными видами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contextualSpacing w:val="0"/>
              <w:jc w:val="left"/>
              <w:keepLines/>
              <w:keepNext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Для всех видов объектов с основными и условно разрешенными видами использования вспомогательные виды ра</w:t>
            </w:r>
            <w:r>
              <w:rPr>
                <w:rFonts w:ascii="Times New Roman" w:hAnsi="Times New Roman" w:eastAsia="Times New Roman" w:cs="Times New Roman"/>
              </w:rPr>
              <w:t xml:space="preserve">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contextualSpacing w:val="0"/>
              <w:jc w:val="left"/>
              <w:keepLines/>
              <w:keepNext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объекты коммунального хозяйства (электро-, тепло-, газо-,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contextualSpacing w:val="0"/>
              <w:jc w:val="left"/>
              <w:keepLines/>
              <w:keepNext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- проезды общего 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contextualSpacing w:val="0"/>
              <w:jc w:val="left"/>
              <w:keepLines/>
              <w:keepNext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- 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contextualSpacing w:val="0"/>
              <w:jc w:val="left"/>
              <w:keepLines/>
              <w:keepNext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- благоустроенные, в том числе озелененные территории, детские площадки, площадки для отдыха, спортивных занятий;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contextualSpacing w:val="0"/>
              <w:jc w:val="left"/>
              <w:keepLines/>
              <w:keepNext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- площадки хозяйственные, в том числе площадки для мусоросборников и выгула собак;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contextualSpacing w:val="0"/>
              <w:jc w:val="left"/>
              <w:keepLines/>
              <w:keepNext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- общественные туалеты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contextualSpacing w:val="0"/>
              <w:jc w:val="left"/>
              <w:keepLines/>
              <w:keepNext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- объекты, обеспечивающие общественную </w:t>
            </w:r>
            <w:r>
              <w:rPr>
                <w:rFonts w:ascii="Times New Roman" w:hAnsi="Times New Roman" w:eastAsia="Times New Roman" w:cs="Times New Roman"/>
              </w:rPr>
              <w:t xml:space="preserve">безопасность и безопасность объектов основных и условно разрешенных видов использования, включая противопожарную.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contextualSpacing w:val="0"/>
              <w:jc w:val="left"/>
              <w:keepLines/>
              <w:keepNext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участка, максимальная высота строений, сооружений от уровня земли - аналогичны, параметрам разрешенного строительства,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реконструкции объектов с основными и условно разрешенными видами использования, с условием применения понижающего коэффициента 0,5 (если иное не оговорено отдельно);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- 1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- 2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требования в части максимальной высоты, установленные настоящими Правилами, не распространяются на антенны, вентиляционные и дымовые трубы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rPr>
          <w:sz w:val="28"/>
          <w:szCs w:val="28"/>
        </w:rPr>
      </w:pPr>
      <w:r>
        <w:rPr>
          <w:rStyle w:val="1052"/>
          <w:bCs/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rStyle w:val="1052"/>
          <w:sz w:val="28"/>
          <w:szCs w:val="28"/>
          <w:highlight w:val="none"/>
        </w:rPr>
      </w:pPr>
      <w:r>
        <w:rPr>
          <w:rStyle w:val="1052"/>
          <w:bCs/>
          <w:sz w:val="28"/>
          <w:szCs w:val="28"/>
        </w:rPr>
        <w:t xml:space="preserve">4.4. Иные предельные параметры разрешенного строительства, реконструкции объектов капитального строительства:</w:t>
      </w:r>
      <w:r>
        <w:rPr>
          <w:rStyle w:val="1052"/>
          <w:sz w:val="28"/>
          <w:szCs w:val="28"/>
          <w:highlight w:val="none"/>
        </w:rPr>
      </w:r>
      <w:r>
        <w:rPr>
          <w:rStyle w:val="1052"/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4.4.1. </w:t>
      </w:r>
      <w:r>
        <w:rPr>
          <w:sz w:val="28"/>
          <w:szCs w:val="28"/>
        </w:rPr>
        <w:t xml:space="preserve">Расстояние до красной линии улиц/проездов, в случае если красная линия не установлена от границы земельного участка с общественной территории улицы/проезда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 дошкольных образовательных учреждений и общеобразовательных школ (стены здания) - 10 м/10 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 пожарных депо - 10 м/10 м (15 м/15 м - для депо I типа);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 жилых и общественных зданий - 5 м/3 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 остальных зданий и сооружений - 5 м/3 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от постоянных отдельно стоящих и пристроенных гаражей, предназначенных для хранения личного автотранспорта граждан - 0 м/0 м (без устройства распашных ворот);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при реконструкции существующих объектов недвижимости, расположенных по красной линии, - 0 м/0 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  <w:t xml:space="preserve">7) для объектов капитального строительства вида [3.1] - Коммунальное обслуживание - 0 м/0 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4.4.2. В целях формирования архитектурно-художественного облика застройки муниципального образования «Городской округ «Город Майкоп» цветовое решение фасадов общественных зданий, многоквартирных домов, выходящих фасадами на улицы, подлежит согласованию с </w:t>
      </w:r>
      <w:r>
        <w:rPr>
          <w:sz w:val="28"/>
          <w:szCs w:val="28"/>
        </w:rPr>
        <w:t xml:space="preserve">УАиГ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  <w:t xml:space="preserve">4.4.3. При строительстве объектов капитального строительства в исторической части города или охранной зоне памятника истории (архитектуры), а также о</w:t>
      </w:r>
      <w:r>
        <w:rPr>
          <w:sz w:val="28"/>
          <w:szCs w:val="28"/>
        </w:rPr>
        <w:t xml:space="preserve">бъектов со значительными объемами, необходимо рассмотреть архитектурное и цветовое решение объекта на общественном Совете по проблемам градостроительного развития и формирования архитектурно-художественного облика </w:t>
      </w:r>
      <w:r>
        <w:rPr>
          <w:sz w:val="28"/>
          <w:szCs w:val="28"/>
        </w:rPr>
        <w:t xml:space="preserve">муниципального образования «Городской округ «Город Майкоп»</w:t>
      </w:r>
      <w:r>
        <w:rPr>
          <w:sz w:val="28"/>
          <w:szCs w:val="28"/>
        </w:rPr>
        <w:t xml:space="preserve">.</w:t>
      </w:r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4.4.4. Размещение и архитектурный облик культовых объектов, мемориальных комплексов, объектов монументального искусства, многоквартирных домов, объектов производств</w:t>
      </w:r>
      <w:r>
        <w:rPr>
          <w:sz w:val="28"/>
          <w:szCs w:val="28"/>
        </w:rPr>
        <w:t xml:space="preserve">енного и гражданского назначения (проектирование и строительство которых финансируются из республиканского бюджета Республики Адыгея), а также объектов, оказывающих влияние на градостроительную ситуацию в </w:t>
      </w:r>
      <w:r>
        <w:rPr>
          <w:sz w:val="28"/>
          <w:szCs w:val="28"/>
        </w:rPr>
        <w:t xml:space="preserve">муниципального образования «Городской округ «Город Майкоп»</w:t>
      </w:r>
      <w:r>
        <w:rPr>
          <w:sz w:val="28"/>
          <w:szCs w:val="28"/>
        </w:rPr>
        <w:t xml:space="preserve">, подлежит </w:t>
      </w:r>
      <w:r>
        <w:rPr>
          <w:sz w:val="28"/>
          <w:szCs w:val="28"/>
        </w:rPr>
        <w:t xml:space="preserve">рассмотрению на заседании Совета по вопросам архитектуры и градостроительства Республики Адыгея.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  <w:t xml:space="preserve">4.4.5. Общая площадь построек хозяйственного назначения (летние кухни, хозяйственные постройки, кладовые, подвалы, бани, бассейны, навесы) индивидуального использования не должна превышать 100 кв. м за исключением оранжерей и теплиц;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4.4.6. Допускается размещение навеса со стороны улицы в случае блокирования его с жилым домом и (или) гаражом при условии, что водосток с их крыш ориентирован на свой участок.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4.4.7. Расстояние от площадок с контейнерами для сбора твердых бытовых отходов до окон жилых домов, границ участков детских, лечебных учреждений, мест отдыха должны быть не менее 8 м, и не более 100 м. Общее количество контейнеров не более 5 шт.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4.4.8. Все здания, строения и сооружения должны быть обеспечены системами водоотведения с кровли, с целью предотвращения подтопления соседних земельных участков и строений.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4.4.9.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4.4.10. Устройство навесов не должно ущемлять законных интересов соседних домовладельцев, в части водоотведения атмосферных осадков с кровли навесов, при устройстве навесов минимальный отступ от границы участка - 1 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4.4.11. Изменение общего рельефа земельного участка, осуществляемое путем выемки или насыпи земли, ведущее к изменению существующей водоотводн</w:t>
      </w:r>
      <w:r>
        <w:rPr>
          <w:sz w:val="28"/>
          <w:szCs w:val="28"/>
        </w:rPr>
        <w:t xml:space="preserve">ой (дренажной) системы, к заболачиванию (переувлажнению) смежных участков или нарушению иных законных прав их владельцев, не допускается. При необходимости изменения рельефа должны быть выполнены мероприятия по недопущению возможных негативных последствий.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4.4.12.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</w:t>
      </w:r>
      <w:r>
        <w:rPr>
          <w:sz w:val="28"/>
          <w:szCs w:val="28"/>
        </w:rPr>
        <w:t xml:space="preserve">ысотой ограждений 2,0 м. (кроме объектов со специальными требованиями к ограждению их территории). По границе с соседним земельным участком ограждения должны быть проветриваемыми на высоту не менее 0,5 м от уровня земли ограждения и высотой не более 2,0 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4.4.13. Вспомогательные строения, за исключением га</w:t>
      </w:r>
      <w:r>
        <w:rPr>
          <w:sz w:val="28"/>
          <w:szCs w:val="28"/>
        </w:rPr>
        <w:t xml:space="preserve">ражей, размещать со стороны улиц не допускается, при этом площадь гаража не должна превышать 36 кв. м., а его высота от уровня земли до верха плоской кровли не должна быть выше 3 метров, при условии обеспечения нормативной инсоляции на территории соседних </w:t>
      </w:r>
      <w:r>
        <w:rPr>
          <w:sz w:val="28"/>
          <w:szCs w:val="28"/>
        </w:rPr>
        <w:t xml:space="preserve">приквартирных</w:t>
      </w:r>
      <w:r>
        <w:rPr>
          <w:sz w:val="28"/>
          <w:szCs w:val="28"/>
        </w:rPr>
        <w:t xml:space="preserve"> участков.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4.4.14. Для всех видов разрешенного использования земельных участков зоны малоэтажной смешанной жилой застройки ОД-4 максимальный процент застройки подземной части в границах земельного участка - 90%.</w:t>
      </w: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608"/>
        <w:jc w:val="both"/>
        <w:rPr>
          <w:rFonts w:eastAsia="SimSun"/>
          <w:b/>
          <w:bCs/>
          <w:sz w:val="28"/>
          <w:szCs w:val="28"/>
          <w:highlight w:val="none"/>
        </w:rPr>
      </w:pPr>
      <w:r>
        <w:rPr>
          <w:rFonts w:eastAsia="SimSun"/>
          <w:b w:val="0"/>
          <w:bCs w:val="0"/>
          <w:sz w:val="28"/>
          <w:szCs w:val="28"/>
          <w:highlight w:val="none"/>
        </w:rPr>
        <w:t xml:space="preserve">4) в статье 36 Правил </w:t>
      </w:r>
      <w:r>
        <w:rPr>
          <w:rFonts w:eastAsia="SimSun"/>
          <w:bCs/>
          <w:iCs/>
          <w:color w:val="000000"/>
          <w:sz w:val="28"/>
          <w:szCs w:val="28"/>
        </w:rPr>
        <w:t xml:space="preserve">в столбце </w:t>
      </w:r>
      <w:r>
        <w:rPr>
          <w:rFonts w:eastAsia="SimSun"/>
          <w:bCs/>
          <w:iCs/>
          <w:color w:val="000000"/>
          <w:sz w:val="28"/>
          <w:szCs w:val="28"/>
        </w:rPr>
        <w:t xml:space="preserve">«</w:t>
      </w:r>
      <w:r>
        <w:rPr>
          <w:color w:val="000000"/>
          <w:sz w:val="28"/>
          <w:szCs w:val="28"/>
        </w:rPr>
        <w:t xml:space="preserve">Описание вида разрешенного использования земельного участка</w:t>
      </w:r>
      <w:r>
        <w:rPr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 таблицы пункта 4.1 части 4 ви</w:t>
      </w:r>
      <w:r>
        <w:rPr>
          <w:color w:val="000000"/>
          <w:sz w:val="28"/>
          <w:szCs w:val="28"/>
        </w:rPr>
        <w:t xml:space="preserve">да </w:t>
      </w:r>
      <w:r>
        <w:rPr>
          <w:color w:val="000000"/>
          <w:sz w:val="28"/>
          <w:szCs w:val="28"/>
        </w:rPr>
        <w:t xml:space="preserve">«</w:t>
      </w:r>
      <w:r>
        <w:rPr>
          <w:color w:val="000000"/>
          <w:sz w:val="28"/>
          <w:szCs w:val="28"/>
        </w:rPr>
        <w:t xml:space="preserve">[4.9.1] – Объекты придорожного сервиса</w:t>
      </w:r>
      <w:r>
        <w:rPr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 слова «</w:t>
      </w:r>
      <w:r>
        <w:rPr>
          <w:sz w:val="28"/>
          <w:szCs w:val="28"/>
        </w:rPr>
        <w:t xml:space="preserve">Объекты по обслуживанию легковых автомобилей с количеством постов не более 10, шиномонтажные мастерские, мойки автомобилей до 2 постов.</w:t>
      </w:r>
      <w:r>
        <w:rPr>
          <w:color w:val="000000"/>
          <w:sz w:val="28"/>
          <w:szCs w:val="28"/>
        </w:rPr>
        <w:t xml:space="preserve">» заменить словами «</w:t>
      </w:r>
      <w:r>
        <w:rPr>
          <w:sz w:val="28"/>
          <w:szCs w:val="28"/>
        </w:rPr>
        <w:t xml:space="preserve">Объекты по обслуживанию легковых автомобилей с количеством постов не более 10, шиномонтажные мастерские, мойки автомобилей до 4 постов.</w:t>
      </w:r>
      <w:r>
        <w:rPr>
          <w:color w:val="000000"/>
          <w:sz w:val="28"/>
          <w:szCs w:val="28"/>
        </w:rPr>
        <w:t xml:space="preserve">»;</w:t>
      </w:r>
      <w:r>
        <w:rPr>
          <w:rFonts w:eastAsia="SimSun"/>
          <w:b/>
          <w:bCs/>
          <w:sz w:val="28"/>
          <w:szCs w:val="28"/>
          <w:highlight w:val="none"/>
        </w:rPr>
      </w:r>
      <w:r>
        <w:rPr>
          <w:rFonts w:eastAsia="SimSun"/>
          <w:b/>
          <w:bCs/>
          <w:sz w:val="28"/>
          <w:szCs w:val="28"/>
          <w:highlight w:val="none"/>
        </w:rPr>
      </w:r>
    </w:p>
    <w:p>
      <w:pPr>
        <w:pStyle w:val="1069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5) в статье 39 Правил в столбце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» таблицы пункта 2.2 части 2 вида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[11.1] - Общее пользование водными объектами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» слова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минимальная/максимальная площадь земельных участков - 100 кв. м/3000 кв. м;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заменить словами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минимальная/максимальная площадь земельных участков - 100 кв. м/60000 кв. м;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4"/>
        <w:ind w:left="567" w:right="0" w:firstLine="0"/>
        <w:jc w:val="both"/>
        <w:rPr>
          <w:rFonts w:eastAsia="SimSun"/>
          <w:bCs/>
          <w:iCs/>
          <w:sz w:val="28"/>
          <w:szCs w:val="28"/>
        </w:rPr>
      </w:pPr>
      <w:r>
        <w:tab/>
      </w:r>
      <w:r>
        <w:rPr>
          <w:sz w:val="28"/>
          <w:szCs w:val="28"/>
        </w:rPr>
        <w:t xml:space="preserve">6)</w:t>
      </w:r>
      <w:r>
        <w:rPr>
          <w:sz w:val="28"/>
          <w:szCs w:val="28"/>
        </w:rPr>
        <w:t xml:space="preserve"> </w:t>
      </w:r>
      <w:r>
        <w:rPr>
          <w:rFonts w:eastAsia="SimSun"/>
          <w:bCs/>
          <w:iCs/>
          <w:sz w:val="28"/>
          <w:szCs w:val="28"/>
        </w:rPr>
        <w:t xml:space="preserve">Статью 39 </w:t>
      </w:r>
      <w:r>
        <w:rPr>
          <w:rFonts w:eastAsia="SimSun"/>
          <w:bCs/>
          <w:iCs/>
          <w:sz w:val="28"/>
          <w:szCs w:val="28"/>
        </w:rPr>
        <w:t xml:space="preserve">Правил</w:t>
      </w:r>
      <w:r>
        <w:rPr>
          <w:rFonts w:eastAsia="SimSun"/>
          <w:bCs/>
          <w:iCs/>
          <w:sz w:val="28"/>
          <w:szCs w:val="28"/>
        </w:rPr>
        <w:t xml:space="preserve"> дополнить частью 4 следующего содержания:</w:t>
      </w:r>
      <w:r>
        <w:rPr>
          <w:rFonts w:eastAsia="SimSun"/>
          <w:bCs/>
          <w:iCs/>
          <w:sz w:val="28"/>
          <w:szCs w:val="28"/>
        </w:rPr>
      </w:r>
      <w:r>
        <w:rPr>
          <w:rFonts w:eastAsia="SimSun"/>
          <w:bCs/>
          <w:iCs/>
          <w:sz w:val="28"/>
          <w:szCs w:val="28"/>
        </w:rPr>
      </w:r>
    </w:p>
    <w:p>
      <w:pPr>
        <w:ind w:left="0" w:right="0" w:firstLine="608"/>
        <w:jc w:val="both"/>
        <w:rPr>
          <w:rFonts w:eastAsia="SimSun"/>
          <w:sz w:val="28"/>
          <w:szCs w:val="28"/>
          <w:highlight w:val="none"/>
        </w:rPr>
      </w:pPr>
      <w:r>
        <w:rPr>
          <w:rFonts w:eastAsia="SimSun"/>
          <w:bCs/>
          <w:iCs/>
          <w:sz w:val="28"/>
          <w:szCs w:val="28"/>
          <w:highlight w:val="none"/>
        </w:rPr>
        <w:t xml:space="preserve">«</w:t>
      </w:r>
      <w:r>
        <w:rPr>
          <w:rFonts w:eastAsia="SimSun"/>
          <w:b/>
          <w:bCs/>
          <w:iCs/>
          <w:sz w:val="28"/>
          <w:szCs w:val="28"/>
          <w:highlight w:val="none"/>
        </w:rPr>
        <w:t xml:space="preserve">4. Р-О1. Зона </w:t>
      </w:r>
      <w:r>
        <w:rPr>
          <w:rFonts w:eastAsia="SimSun"/>
          <w:b/>
          <w:bCs/>
          <w:iCs/>
          <w:sz w:val="28"/>
          <w:szCs w:val="28"/>
          <w:highlight w:val="none"/>
        </w:rPr>
        <w:t xml:space="preserve">рекреационного назначения</w:t>
      </w:r>
      <w:r>
        <w:rPr>
          <w:rFonts w:eastAsia="SimSun"/>
          <w:b/>
          <w:bCs/>
          <w:iCs/>
          <w:sz w:val="28"/>
          <w:szCs w:val="28"/>
          <w:highlight w:val="none"/>
        </w:rPr>
        <w:t xml:space="preserve"> туристической направленности</w:t>
      </w:r>
      <w:r>
        <w:rPr>
          <w:rFonts w:eastAsia="SimSun"/>
          <w:sz w:val="28"/>
          <w:szCs w:val="28"/>
          <w:highlight w:val="none"/>
        </w:rPr>
      </w:r>
      <w:r>
        <w:rPr>
          <w:rFonts w:eastAsia="SimSun"/>
          <w:sz w:val="28"/>
          <w:szCs w:val="28"/>
          <w:highlight w:val="none"/>
        </w:rPr>
      </w:r>
    </w:p>
    <w:p>
      <w:pPr>
        <w:ind w:left="0" w:right="0" w:firstLine="608"/>
        <w:jc w:val="both"/>
        <w:rPr>
          <w:rFonts w:eastAsia="SimSun"/>
          <w:sz w:val="28"/>
          <w:szCs w:val="28"/>
          <w:highlight w:val="none"/>
        </w:rPr>
      </w:pPr>
      <w:r>
        <w:rPr>
          <w:rFonts w:eastAsia="SimSun"/>
          <w:bCs/>
          <w:iCs/>
          <w:sz w:val="28"/>
          <w:szCs w:val="28"/>
          <w:highlight w:val="none"/>
        </w:rPr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она Р-О1 выделена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размещения объектов туризма, гостиничного обслуживания, санаторной деятельности, отдыха и спорта, сохранения экологически чистой окружающей среды и использования существующего природного ландшафта в рекреационных целях</w:t>
      </w:r>
      <w:r>
        <w:rPr>
          <w:sz w:val="28"/>
          <w:szCs w:val="28"/>
        </w:rPr>
        <w:t xml:space="preserve">.</w:t>
      </w:r>
      <w:r>
        <w:rPr>
          <w:rFonts w:eastAsia="SimSun"/>
          <w:sz w:val="28"/>
          <w:szCs w:val="28"/>
          <w:highlight w:val="none"/>
        </w:rPr>
      </w:r>
      <w:r>
        <w:rPr>
          <w:rFonts w:eastAsia="SimSun"/>
          <w:sz w:val="28"/>
          <w:szCs w:val="28"/>
          <w:highlight w:val="none"/>
        </w:rPr>
      </w:r>
    </w:p>
    <w:p>
      <w:pPr>
        <w:ind w:left="0" w:right="0" w:firstLine="608"/>
        <w:jc w:val="both"/>
        <w:rPr>
          <w:rFonts w:eastAsia="SimSun"/>
          <w:b/>
          <w:bCs/>
          <w:sz w:val="28"/>
          <w:szCs w:val="28"/>
          <w:highlight w:val="none"/>
        </w:rPr>
      </w:pPr>
      <w:r>
        <w:rPr>
          <w:rFonts w:eastAsia="SimSun"/>
          <w:b/>
          <w:bCs/>
          <w:iCs/>
          <w:sz w:val="28"/>
          <w:szCs w:val="28"/>
          <w:highlight w:val="none"/>
        </w:rPr>
        <w:t xml:space="preserve">4.1 </w:t>
      </w:r>
      <w:r>
        <w:rPr>
          <w:rStyle w:val="1052"/>
          <w:b/>
          <w:bCs/>
          <w:sz w:val="28"/>
          <w:szCs w:val="28"/>
        </w:rPr>
        <w:t xml:space="preserve">Основные виды ра</w:t>
      </w:r>
      <w:r>
        <w:rPr>
          <w:rStyle w:val="1052"/>
          <w:b/>
          <w:bCs/>
          <w:sz w:val="28"/>
          <w:szCs w:val="28"/>
        </w:rPr>
        <w:t xml:space="preserve">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eastAsia="SimSun"/>
          <w:b/>
          <w:bCs/>
          <w:sz w:val="28"/>
          <w:szCs w:val="28"/>
          <w:highlight w:val="none"/>
        </w:rPr>
      </w:r>
      <w:r>
        <w:rPr>
          <w:rFonts w:eastAsia="SimSun"/>
          <w:b/>
          <w:bCs/>
          <w:sz w:val="28"/>
          <w:szCs w:val="28"/>
          <w:highlight w:val="none"/>
        </w:rPr>
      </w:r>
    </w:p>
    <w:tbl>
      <w:tblPr>
        <w:tblW w:w="0" w:type="auto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243"/>
        <w:gridCol w:w="3284"/>
        <w:gridCol w:w="3554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Виды разрешенного использования земельных участков в соответствии с классификатором видов разрешенного использования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Описание вида разрешенного использования земельного участка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4" w:type="dxa"/>
            <w:textDirection w:val="lrTb"/>
            <w:noWrap w:val="false"/>
          </w:tcPr>
          <w:p>
            <w:pPr>
              <w:pStyle w:val="10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[12.0] - Земельные участки (территории) общего пользования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[12.0.1] и [12.0.2]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Регламенты не устанавливаются.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федеральными органами </w:t>
            </w:r>
            <w:r>
              <w:rPr>
                <w:rFonts w:ascii="Times New Roman" w:hAnsi="Times New Roman" w:eastAsia="Times New Roman" w:cs="Times New Roman"/>
              </w:rPr>
              <w:t xml:space="preserve">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[12.0.1] - Улично-дорожная сеть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r>
              <w:rPr>
                <w:rFonts w:ascii="Times New Roman" w:hAnsi="Times New Roman" w:eastAsia="Times New Roman" w:cs="Times New Roman"/>
              </w:rPr>
              <w:t xml:space="preserve">велотранспортной</w:t>
            </w:r>
            <w:r>
              <w:rPr>
                <w:rFonts w:ascii="Times New Roman" w:hAnsi="Times New Roman" w:eastAsia="Times New Roman" w:cs="Times New Roman"/>
              </w:rPr>
              <w:t xml:space="preserve"> и инженерной инфраструктуры; размещение придо</w:t>
            </w:r>
            <w:r>
              <w:rPr>
                <w:rFonts w:ascii="Times New Roman" w:hAnsi="Times New Roman" w:eastAsia="Times New Roman" w:cs="Times New Roman"/>
              </w:rPr>
              <w:t xml:space="preserve">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Регламенты не устанавливаются.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</w:t>
            </w:r>
            <w:r>
              <w:rPr>
                <w:rFonts w:ascii="Times New Roman" w:hAnsi="Times New Roman" w:eastAsia="Times New Roman" w:cs="Times New Roman"/>
              </w:rPr>
              <w:t xml:space="preserve">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[12.0.2] - Благоустройство территории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Размещение декоративных, технических, планировочных, конструктивных устройств, эле</w:t>
            </w:r>
            <w:r>
              <w:rPr>
                <w:rFonts w:ascii="Times New Roman" w:hAnsi="Times New Roman" w:eastAsia="Times New Roman" w:cs="Times New Roman"/>
              </w:rPr>
              <w:t xml:space="preserve">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Регламенты не устанавливаются.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</w:t>
            </w:r>
            <w:r>
              <w:rPr>
                <w:rFonts w:ascii="Times New Roman" w:hAnsi="Times New Roman" w:eastAsia="Times New Roman" w:cs="Times New Roman"/>
              </w:rPr>
              <w:t xml:space="preserve">авливаются,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tbl>
      <w:tblPr>
        <w:tblW w:w="0" w:type="auto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243"/>
        <w:gridCol w:w="3284"/>
        <w:gridCol w:w="3553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[3.6] - Культурное развитие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vMerge w:val="restart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- 100 кв. </w:t>
            </w:r>
            <w:r>
              <w:rPr>
                <w:rFonts w:ascii="Times New Roman" w:hAnsi="Times New Roman" w:eastAsia="Times New Roman" w:cs="Times New Roman"/>
              </w:rPr>
              <w:t xml:space="preserve">м/не</w:t>
            </w:r>
            <w:r>
              <w:rPr>
                <w:rFonts w:ascii="Times New Roman" w:hAnsi="Times New Roman" w:eastAsia="Times New Roman" w:cs="Times New Roman"/>
              </w:rPr>
              <w:t xml:space="preserve"> устанавливается;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- 10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- 3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максимальная высота строений, сооружений от уровня земли - 20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vMerge w:val="restart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[3.6.1] - Объекты культурно-досуговой деятельности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vMerge w:val="restart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vMerge w:val="continue"/>
            <w:textDirection w:val="lrTb"/>
            <w:noWrap w:val="false"/>
          </w:tcPr>
          <w:p>
            <w:pPr>
              <w:pStyle w:val="107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[3.6.2] - Парки культуры и отдыха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Размещение парков культуры и отдыха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vMerge w:val="continue"/>
            <w:textDirection w:val="lrTb"/>
            <w:noWrap w:val="false"/>
          </w:tcPr>
          <w:p>
            <w:pPr>
              <w:pStyle w:val="107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[4.8] - Развлечения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Размещение объектов капитального строительства, предназначенных для размещения: танцевальных площадок, аттракционов, и игровых площадок;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- 100 кв. м/не устанавливается;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- 6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- 1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максимальная высота строений, сооружений от уровня земли - 10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- 90%;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[4.6] - Общественное питание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капитального строительства, предназначены для устройства мест общественного питания (рестораны, кафе, столовые, </w:t>
            </w:r>
            <w:r>
              <w:rPr>
                <w:rFonts w:ascii="Times New Roman" w:hAnsi="Times New Roman" w:eastAsia="Times New Roman" w:cs="Times New Roman"/>
              </w:rPr>
              <w:t xml:space="preserve">закусочные, бары)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- 100 кв. </w:t>
            </w:r>
            <w:r>
              <w:rPr>
                <w:rFonts w:ascii="Times New Roman" w:hAnsi="Times New Roman" w:eastAsia="Times New Roman" w:cs="Times New Roman"/>
              </w:rPr>
              <w:t xml:space="preserve">м/не</w:t>
            </w:r>
            <w:r>
              <w:rPr>
                <w:rFonts w:ascii="Times New Roman" w:hAnsi="Times New Roman" w:eastAsia="Times New Roman" w:cs="Times New Roman"/>
              </w:rPr>
              <w:t xml:space="preserve"> устанавливается;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</w:t>
            </w:r>
            <w:r>
              <w:rPr>
                <w:rFonts w:ascii="Times New Roman" w:hAnsi="Times New Roman" w:eastAsia="Times New Roman" w:cs="Times New Roman"/>
              </w:rPr>
              <w:t xml:space="preserve">(проезда) - 12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- 3 этажа (включая мансардный этаж)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[11.1] - Общее пользование водными объектами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Использование объектов капитального строительства на земельных участках, примыкающих к водным объектам способами, необходимыми для осуществления общего водопользования (водо</w:t>
            </w:r>
            <w:r>
              <w:rPr>
                <w:rFonts w:ascii="Times New Roman" w:hAnsi="Times New Roman" w:eastAsia="Times New Roman" w:cs="Times New Roman"/>
              </w:rPr>
              <w:t xml:space="preserve">пользования, осуществляемого гражданами для личных нужд, купание, использование маломерных судов, водных мотоциклов и других технических средств, предназначенных для отдыха на водных объектах, если соответствующие запреты не установлены законодательством);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- 100 кв. м/не устанавливается;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- 10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- 1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максимальная высота строений, сооружений от уровня земли - 10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- 90%;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[5.1] - Спорт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Здания физкультурно-оздоровительных клубов и фитнес-центров, теннисные корты, бассейны, площадки для занятия спортом и физкультурой (беговые дорожки, спортивные сооружения, поля для спортивной игры);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- 100 кв. </w:t>
            </w:r>
            <w:r>
              <w:rPr>
                <w:rFonts w:ascii="Times New Roman" w:hAnsi="Times New Roman" w:eastAsia="Times New Roman" w:cs="Times New Roman"/>
              </w:rPr>
              <w:t xml:space="preserve">м/не</w:t>
            </w:r>
            <w:r>
              <w:rPr>
                <w:rFonts w:ascii="Times New Roman" w:hAnsi="Times New Roman" w:eastAsia="Times New Roman" w:cs="Times New Roman"/>
              </w:rPr>
              <w:t xml:space="preserve"> устанавливается;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(проезда) - 10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- 3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[3.1] - Коммунальное обслуживание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капитального строительства </w:t>
            </w:r>
            <w:r>
              <w:rPr>
                <w:rFonts w:ascii="Times New Roman" w:hAnsi="Times New Roman" w:eastAsia="Times New Roman" w:cs="Times New Roman"/>
              </w:rPr>
              <w:t xml:space="preserve">для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(котельные, водозаборы, очистные </w:t>
            </w:r>
            <w:r>
              <w:rPr>
                <w:rFonts w:ascii="Times New Roman" w:hAnsi="Times New Roman" w:eastAsia="Times New Roman" w:cs="Times New Roman"/>
              </w:rPr>
              <w:t xml:space="preserve">сооружения, насосные станции, водопроводы, линии электропередач, трансформаторные подстанции, газопроводы, линии связи).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vMerge w:val="restart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 кв. м/1000 кв.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- 1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- 3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максимальная высота строений, сооружений от уровня земли - 20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</w:t>
            </w:r>
            <w:r>
              <w:rPr>
                <w:rFonts w:ascii="Times New Roman" w:hAnsi="Times New Roman" w:eastAsia="Times New Roman" w:cs="Times New Roman"/>
              </w:rPr>
              <w:t xml:space="preserve">границах земельного участка - 80%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[8.3] - Обеспечение внутреннего правопорядка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Объекты гражданской обороны, за исключением объектов гражданской обороны, являющихся частями производственных зданий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53" w:type="dxa"/>
            <w:vMerge w:val="continue"/>
            <w:textDirection w:val="lrTb"/>
            <w:noWrap w:val="false"/>
          </w:tcPr>
          <w:p>
            <w:pPr>
              <w:pStyle w:val="107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[6.8] - Связь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 </w:t>
            </w:r>
            <w:hyperlink r:id="rId9" w:tooltip="https://base.garant.ru/75062082/#block_1311" w:anchor="block_1311" w:history="1">
              <w:r>
                <w:rPr>
                  <w:rFonts w:ascii="Times New Roman" w:hAnsi="Times New Roman" w:eastAsia="Times New Roman" w:cs="Times New Roman"/>
                  <w:color w:val="000000"/>
                  <w:u w:val="single"/>
                </w:rPr>
                <w:t xml:space="preserve">кодами 3.1.1</w:t>
              </w:r>
            </w:hyperlink>
            <w:r>
              <w:rPr>
                <w:rFonts w:ascii="Times New Roman" w:hAnsi="Times New Roman" w:eastAsia="Times New Roman" w:cs="Times New Roman"/>
                <w:color w:val="000000"/>
              </w:rPr>
              <w:t xml:space="preserve">, </w:t>
            </w:r>
            <w:hyperlink r:id="rId10" w:tooltip="https://base.garant.ru/75062082/#block_1323" w:anchor="block_1323" w:history="1">
              <w:r>
                <w:rPr>
                  <w:rFonts w:ascii="Times New Roman" w:hAnsi="Times New Roman" w:eastAsia="Times New Roman" w:cs="Times New Roman"/>
                  <w:color w:val="000000"/>
                  <w:u w:val="single"/>
                </w:rPr>
                <w:t xml:space="preserve">3.2.3</w:t>
              </w:r>
            </w:hyperlink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минимальная/максимальная площадь земельных участков - 10 кв. м/10000 кв. м;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минимальная ширина земельных участков вдоль фронта улицы (проезда) - 4 м;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минимальные отступы от границ земельных участков - 1 м;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максимальное количество надземных этажей зданий - 3 этажа (включая мансардный этаж);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максимальная высота строений, сооружений от уровня земли - 100 м;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максимальный процент застройки в границах земельного участка - 80%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43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</w:rPr>
              <w:t xml:space="preserve">[5.2.1] - Туристическое обслуживание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Размещение пансионатов, гостиниц, кемпингов, домов отдыха, не оказывающих услуги по лечению;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spacing w:before="0" w:after="0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размещение детских лагерей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3" w:type="dxa"/>
            <w:vMerge w:val="restart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 - 100 кв. </w:t>
            </w:r>
            <w:r>
              <w:rPr>
                <w:rFonts w:ascii="Times New Roman" w:hAnsi="Times New Roman" w:eastAsia="Times New Roman" w:cs="Times New Roman"/>
              </w:rPr>
              <w:t xml:space="preserve">м/не</w:t>
            </w:r>
            <w:r>
              <w:rPr>
                <w:rFonts w:ascii="Times New Roman" w:hAnsi="Times New Roman" w:eastAsia="Times New Roman" w:cs="Times New Roman"/>
              </w:rPr>
              <w:t xml:space="preserve"> устанавливается;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 ширина земельных участков вдоль фронта улицы </w:t>
            </w:r>
            <w:r>
              <w:rPr>
                <w:rFonts w:ascii="Times New Roman" w:hAnsi="Times New Roman" w:eastAsia="Times New Roman" w:cs="Times New Roman"/>
              </w:rPr>
              <w:t xml:space="preserve">(проезда) - 12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- 3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- 3 этажа (включая мансардный этаж)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процент застройки в границах земельного участка - 80%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43" w:type="dxa"/>
            <w:vMerge w:val="restart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</w:rPr>
              <w:t xml:space="preserve">[5.0] - Отдых (рекреация)</w:t>
            </w:r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spacing w:before="0" w:after="0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 </w:t>
            </w:r>
            <w:hyperlink r:id="rId11" w:tooltip="https://internet.garant.ru/#/document/75062082/entry/1051" w:history="1">
              <w:r>
                <w:rPr>
                  <w:rStyle w:val="1049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кодами 5.1 - 5.5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43" w:type="dxa"/>
            <w:vMerge w:val="restart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[9.2.1] - Санаторная деятельность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spacing w:before="0" w:after="0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размещение лечебно-оздоровительных лагерей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3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43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</w:rPr>
              <w:t xml:space="preserve">[4.7] - Гостиничное обслуживание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4" w:type="dxa"/>
            <w:vMerge w:val="restart"/>
            <w:textDirection w:val="lrTb"/>
            <w:noWrap w:val="false"/>
          </w:tcPr>
          <w:p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Размещение гостиниц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3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rStyle w:val="1052"/>
          <w:bCs/>
          <w:sz w:val="28"/>
          <w:szCs w:val="28"/>
        </w:rPr>
        <w:t xml:space="preserve">4.2. Условно разреш</w:t>
      </w:r>
      <w:r>
        <w:rPr>
          <w:rStyle w:val="1052"/>
          <w:bCs/>
          <w:sz w:val="28"/>
          <w:szCs w:val="28"/>
        </w:rPr>
        <w:t xml:space="preserve">енные виды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595"/>
        <w:gridCol w:w="2693"/>
        <w:gridCol w:w="3695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595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Виды разрешенного использования земельных участков в соответствии с классификатором видов разрешенного использования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Описание вида разрешенного использования земельного участка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5" w:type="dxa"/>
            <w:textDirection w:val="lrTb"/>
            <w:noWrap w:val="false"/>
          </w:tcPr>
          <w:p>
            <w:pPr>
              <w:pStyle w:val="1070"/>
              <w:ind w:left="0" w:right="-10" w:firstLine="0"/>
              <w:jc w:val="center"/>
            </w:pPr>
            <w:r>
      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595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не устанавливаются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не устанавливаются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95" w:type="dxa"/>
            <w:textDirection w:val="lrTb"/>
            <w:noWrap w:val="false"/>
          </w:tcPr>
          <w:p>
            <w:pPr>
              <w:pStyle w:val="1070"/>
              <w:ind w:left="0" w:right="1213" w:firstLine="0"/>
              <w:jc w:val="center"/>
            </w:pPr>
            <w:r>
              <w:t xml:space="preserve">не устанавливаются</w:t>
            </w:r>
            <w:r/>
          </w:p>
        </w:tc>
      </w:tr>
    </w:tbl>
    <w:p>
      <w:r>
        <w:rPr>
          <w:highlight w:val="none"/>
        </w:rPr>
      </w:r>
      <w:r>
        <w:rPr>
          <w:highlight w:val="none"/>
        </w:rPr>
      </w:r>
      <w:r/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bookmarkStart w:id="0" w:name="undefined"/>
      <w:r>
        <w:rPr>
          <w:rStyle w:val="1052"/>
          <w:bCs/>
          <w:sz w:val="28"/>
          <w:szCs w:val="28"/>
        </w:rPr>
        <w:t xml:space="preserve">4.3. Вспомогательные виды разрешенного использования земельных участков и объектов капитального строительства, допустимые только в к</w:t>
      </w:r>
      <w:r>
        <w:rPr>
          <w:rStyle w:val="1052"/>
          <w:bCs/>
          <w:sz w:val="28"/>
          <w:szCs w:val="28"/>
        </w:rPr>
        <w:t xml:space="preserve">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строительства, реконструкции объектов капитального строительства</w:t>
      </w:r>
      <w:bookmarkEnd w:id="0"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579"/>
        <w:gridCol w:w="4404"/>
      </w:tblGrid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579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Виды разрешенного использования земельных участков и объектов капитального строительства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04" w:type="dxa"/>
            <w:textDirection w:val="lrTb"/>
            <w:noWrap w:val="false"/>
          </w:tcPr>
          <w:p>
            <w:pPr>
              <w:pStyle w:val="1070"/>
              <w:jc w:val="center"/>
            </w:pPr>
            <w:r>
              <w:t xml:space="preserve">Предельные параметры разрешенного строительства, реконструкции объектов капитального строительства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579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Виды разрешенного использования земельных участков - аналогичны видам разрешенного использования земельных участков с основными и условно разрешенными видами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</w:t>
            </w:r>
            <w:r>
              <w:rPr>
                <w:rFonts w:ascii="Times New Roman" w:hAnsi="Times New Roman" w:eastAsia="Times New Roman" w:cs="Times New Roman"/>
              </w:rPr>
              <w:t xml:space="preserve">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объекты коммунального хозяйства (электро-, тепло-, газо-,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проезды общего 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благоустроенные, в том числе озелененные территории, детские площадки, площадки для отдыха, спортивных занятий;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постройки хозяйственного назначения;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площадки хозяйственные, в том числе площадки для мусоросборников;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общественные туалеты, надворные туалеты, гидронепроницаемые выгребы, септики;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объекты,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04" w:type="dxa"/>
            <w:textDirection w:val="lrTb"/>
            <w:noWrap w:val="false"/>
          </w:tcPr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минимальная/максимальная площадь земельных участков, минимальная ширина земельных участков вдоль фронта улицы (проезда) - аналогичны, параметрам разрешенного строительства, реконструкции объектов с основными и условно разрешенными видами использования;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максимальный проце</w:t>
            </w:r>
            <w:r>
              <w:rPr>
                <w:rFonts w:ascii="Times New Roman" w:hAnsi="Times New Roman" w:eastAsia="Times New Roman" w:cs="Times New Roman"/>
              </w:rPr>
              <w:t xml:space="preserve">нт застройки в границах земельного участка, максимальная высота строений, сооружений от уровня земли - аналогичны, параметрам разрешенного строительства, реконструкции объектов с основными и условно разрешенными видами использования, с условием применения </w:t>
            </w:r>
            <w:r>
              <w:rPr>
                <w:rFonts w:ascii="Times New Roman" w:hAnsi="Times New Roman" w:eastAsia="Times New Roman" w:cs="Times New Roman"/>
              </w:rPr>
              <w:t xml:space="preserve">понижающего коэффициента 0,5 (если иное не оговорено отдельно);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минимальные отступы от границ земельных участков - 1 м;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максимальное количество надземных этажей зданий - 2 этажа (включая мансардный этаж);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0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требования в части максимальной высоты, установленные настоящими Правилами, не распространяются на антенны, вентиляционные и дымовые трубы;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r/>
      <w:r/>
    </w:p>
    <w:p>
      <w:pPr>
        <w:jc w:val="both"/>
        <w:rPr>
          <w:sz w:val="28"/>
          <w:szCs w:val="28"/>
        </w:rPr>
      </w:pPr>
      <w:r>
        <w:rPr>
          <w:rStyle w:val="1052"/>
          <w:bCs/>
          <w:sz w:val="28"/>
          <w:szCs w:val="28"/>
        </w:rPr>
        <w:t xml:space="preserve">4.4. Иные предельные параметры разрешенного строительства, реконструкции объектов капитального строительства: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4.4.1. </w:t>
      </w:r>
      <w:r>
        <w:rPr>
          <w:sz w:val="28"/>
          <w:szCs w:val="28"/>
        </w:rPr>
        <w:t xml:space="preserve">Расстояние до красной линии улиц/проездов, в случае если красная линия не установлена от границы земельного участка с общественной территории улицы/проезда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 общественных зданий - 5 м/3 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 остальных зданий и сооружений - 5 м/3 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  <w:t xml:space="preserve">3) для объектов капитального строительства вида [3.1] - Коммунальное обслуживание - 0 м/0 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4.4.2. Вспомогательные строения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участков.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4.4.3. Допускается блокировка зданий и сооружений, а также хозяйственных построек на смежных земельных участках по взаимному (удостоверенному) согласию владельцев при новом строительстве с соблюдением технических регламентов.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4.4.4. Характер ограждения земельных участков со стороны улицы должен быть выдержан в едином стиле как минимум на протяжении одного квартала с об</w:t>
      </w:r>
      <w:r>
        <w:rPr>
          <w:sz w:val="28"/>
          <w:szCs w:val="28"/>
        </w:rPr>
        <w:t xml:space="preserve">еих сторон улиц с максимально допустимой высотой ограждений 2,0 м. (кроме объектов со специальными требованиями к ограждению их территории). По границе с соседним земельным участком ограждения должны быть полностью проветриваемыми и высотой не более 2,0 м.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4.4.5. </w:t>
      </w:r>
      <w:r>
        <w:rPr>
          <w:sz w:val="28"/>
          <w:szCs w:val="28"/>
        </w:rPr>
        <w:t xml:space="preserve">В целях формирования архитектурно-художественного облика застройки муниципального образования «Городской округ «Город Майкоп» цветовое решение фасадов общественных зданий, многоквартирных домов, выходящих фасадами на улицы, подлежит согласованию с </w:t>
      </w:r>
      <w:r>
        <w:rPr>
          <w:sz w:val="28"/>
          <w:szCs w:val="28"/>
        </w:rPr>
        <w:t xml:space="preserve">УАиГ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4.4.6</w:t>
      </w:r>
      <w:r>
        <w:rPr>
          <w:sz w:val="28"/>
          <w:szCs w:val="28"/>
        </w:rPr>
        <w:t xml:space="preserve">. Размещение и архитектурный облик культовых объектов, мемориальных комплексов, объектов монументального искусства, многоквартирных домов, объектов производственного и гражданского назначения (проектирование и строительство которых финансируются из респуб</w:t>
      </w:r>
      <w:r>
        <w:rPr>
          <w:sz w:val="28"/>
          <w:szCs w:val="28"/>
        </w:rPr>
        <w:t xml:space="preserve">ликанского бюджет</w:t>
      </w:r>
      <w:r>
        <w:rPr>
          <w:sz w:val="28"/>
          <w:szCs w:val="28"/>
        </w:rPr>
        <w:t xml:space="preserve">а Республики Адыгея), а также объектов, оказывающих влияние на градостроительную ситуацию в муниципальном образовании «Городской округ «Город Майкоп», подлежит рассмотрению на заседании Совета по вопросам архитектуры и градостроительства Республики Адыгея.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7) </w:t>
      </w:r>
      <w:r>
        <w:rPr>
          <w:sz w:val="28"/>
          <w:szCs w:val="28"/>
        </w:rPr>
        <w:t xml:space="preserve">в статье 43 </w:t>
      </w:r>
      <w:r>
        <w:rPr>
          <w:sz w:val="28"/>
          <w:szCs w:val="28"/>
        </w:rPr>
        <w:t xml:space="preserve">Правил </w:t>
      </w:r>
      <w:r>
        <w:rPr>
          <w:sz w:val="28"/>
          <w:szCs w:val="28"/>
        </w:rPr>
        <w:t xml:space="preserve">абзац 3 изложить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новой</w:t>
      </w:r>
      <w:r>
        <w:rPr>
          <w:sz w:val="28"/>
          <w:szCs w:val="28"/>
        </w:rPr>
        <w:t xml:space="preserve"> редакции: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всех территориальных зонах требуемое (Свод правил СП 42.13330.2016 "Градостроительство. Планировка и застройка городских и сельских поселений") количество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машиномест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одну расчетную единицу по видам использования должно быть обеспечено на территории земельного участка, в границах которого производится градостроительное изменение, за исключением случаев реконструкции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перевода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расположенных на земельных участках площадью менее 800 кв.м.</w:t>
      </w: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ind w:left="-16" w:firstLine="5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Статью 44 </w:t>
      </w:r>
      <w:r>
        <w:rPr>
          <w:sz w:val="28"/>
          <w:szCs w:val="28"/>
        </w:rPr>
        <w:t xml:space="preserve">Правил </w:t>
      </w:r>
      <w:r>
        <w:rPr>
          <w:sz w:val="28"/>
          <w:szCs w:val="28"/>
        </w:rPr>
        <w:t xml:space="preserve">изложить в новой редакции согласно Приложению № 1 к настоящему приказу;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ind w:left="-16" w:firstLine="5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</w:t>
      </w:r>
      <w:r>
        <w:rPr>
          <w:sz w:val="28"/>
          <w:szCs w:val="28"/>
        </w:rPr>
        <w:t xml:space="preserve"> Статью 45 </w:t>
      </w:r>
      <w:r>
        <w:rPr>
          <w:sz w:val="28"/>
          <w:szCs w:val="28"/>
        </w:rPr>
        <w:t xml:space="preserve">Правил </w:t>
      </w:r>
      <w:r>
        <w:rPr>
          <w:sz w:val="28"/>
          <w:szCs w:val="28"/>
        </w:rPr>
        <w:t xml:space="preserve">изложить в новой редакции согласно Приложению № 2 к настоящему приказу;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настоящий приказ на официальном Интернет-сайте исполнительных органов государственной власти Республики Адыгея (http://adygheya.ru).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Направить настоящий приказ Главе муниципального образования «Город Майкоп» для официального опубликования в п</w:t>
      </w:r>
      <w:r>
        <w:rPr>
          <w:sz w:val="28"/>
          <w:szCs w:val="28"/>
        </w:rPr>
        <w:t xml:space="preserve">орядке, установленном для опубликования правовых актов, иной официальной информации и размещения на официальном сайте в сети Интернет.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Разместить Правила землепользования и застройки муниципального образования </w:t>
      </w:r>
      <w:r>
        <w:rPr>
          <w:sz w:val="28"/>
          <w:szCs w:val="28"/>
        </w:rPr>
        <w:t xml:space="preserve">«Городской округ «Город Майкоп» </w:t>
      </w:r>
      <w:r>
        <w:rPr>
          <w:sz w:val="28"/>
          <w:szCs w:val="28"/>
        </w:rPr>
        <w:t xml:space="preserve">в редакции настоящего приказа </w:t>
      </w:r>
      <w:r>
        <w:rPr>
          <w:sz w:val="28"/>
          <w:szCs w:val="28"/>
        </w:rPr>
        <w:t xml:space="preserve">в федеральной государственной информационной системе территориального планирования не позднее чем по истечении десяти дней с даты подписания настоящего приказа.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Настоящий приказ вступает в силу со дня его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                А.Н. Зезарахов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851" w:right="1133" w:bottom="709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ahoma">
    <w:panose1 w:val="020B0604030504040204"/>
  </w:font>
  <w:font w:name="Times New Roman">
    <w:panose1 w:val="02020603050405020304"/>
  </w:font>
  <w:font w:name="Microsoft YaHei">
    <w:panose1 w:val="020B0503020203020204"/>
  </w:font>
  <w:font w:name="Symbol">
    <w:panose1 w:val="05010000000000000000"/>
  </w:font>
  <w:font w:name="Mangal">
    <w:panose1 w:val="02040503050406030204"/>
  </w:font>
  <w:font w:name="Courier New">
    <w:panose1 w:val="02070309020205020404"/>
  </w:font>
  <w:font w:name="Lucida Sans">
    <w:panose1 w:val="020B0602040504020204"/>
  </w:font>
  <w:font w:name="Wingdings">
    <w:panose1 w:val="05010000000000000000"/>
  </w:font>
  <w:font w:name="SimSun">
    <w:panose1 w:val="0200050600000002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5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decimal"/>
      <w:pStyle w:val="846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decimal"/>
      <w:pStyle w:val="847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pStyle w:val="848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decimal"/>
      <w:pStyle w:val="849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pStyle w:val="850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927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  <w:tabs>
          <w:tab w:val="num" w:pos="0" w:leader="none"/>
        </w:tabs>
      </w:pPr>
      <w:rPr>
        <w:rFonts w:eastAsia="SimSun"/>
        <w:bCs/>
        <w:iCs/>
        <w:sz w:val="28"/>
        <w:szCs w:val="28"/>
        <w:lang w:eastAsia="zh-C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  <w:tabs>
          <w:tab w:val="num" w:pos="0" w:leader="none"/>
        </w:tabs>
      </w:pPr>
      <w:rPr>
        <w:rFonts w:eastAsia="SimSun"/>
        <w:bCs/>
        <w:iCs/>
        <w:sz w:val="28"/>
        <w:szCs w:val="28"/>
        <w:lang w:eastAsia="zh-C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rPr>
      <w:sz w:val="24"/>
      <w:szCs w:val="24"/>
      <w:lang w:val="ru-RU" w:eastAsia="ru-RU" w:bidi="ar-SA"/>
    </w:rPr>
  </w:style>
  <w:style w:type="paragraph" w:styleId="845">
    <w:name w:val="Заголовок 1"/>
    <w:basedOn w:val="844"/>
    <w:next w:val="844"/>
    <w:link w:val="844"/>
    <w:qFormat/>
    <w:pPr>
      <w:numPr>
        <w:ilvl w:val="0"/>
        <w:numId w:val="1"/>
      </w:numPr>
      <w:jc w:val="center"/>
      <w:keepNext/>
      <w:outlineLvl w:val="0"/>
    </w:pPr>
    <w:rPr>
      <w:b/>
      <w:sz w:val="22"/>
    </w:rPr>
  </w:style>
  <w:style w:type="paragraph" w:styleId="846">
    <w:name w:val="Заголовок 2"/>
    <w:basedOn w:val="844"/>
    <w:next w:val="844"/>
    <w:link w:val="844"/>
    <w:qFormat/>
    <w:pPr>
      <w:numPr>
        <w:ilvl w:val="1"/>
        <w:numId w:val="1"/>
      </w:numPr>
      <w:jc w:val="center"/>
      <w:keepNext/>
      <w:outlineLvl w:val="1"/>
    </w:pPr>
    <w:rPr>
      <w:sz w:val="24"/>
    </w:rPr>
  </w:style>
  <w:style w:type="paragraph" w:styleId="847">
    <w:name w:val="Заголовок 3"/>
    <w:basedOn w:val="844"/>
    <w:next w:val="844"/>
    <w:link w:val="844"/>
    <w:qFormat/>
    <w:pPr>
      <w:numPr>
        <w:ilvl w:val="2"/>
        <w:numId w:val="1"/>
      </w:numPr>
      <w:keepNext/>
      <w:outlineLvl w:val="2"/>
    </w:pPr>
    <w:rPr>
      <w:sz w:val="24"/>
    </w:rPr>
  </w:style>
  <w:style w:type="paragraph" w:styleId="848">
    <w:name w:val="Заголовок 4"/>
    <w:basedOn w:val="844"/>
    <w:next w:val="844"/>
    <w:link w:val="844"/>
    <w:qFormat/>
    <w:pPr>
      <w:numPr>
        <w:ilvl w:val="3"/>
        <w:numId w:val="1"/>
      </w:numPr>
      <w:ind w:left="0" w:right="0" w:firstLine="851"/>
      <w:keepNext/>
      <w:outlineLvl w:val="3"/>
    </w:pPr>
    <w:rPr>
      <w:sz w:val="28"/>
    </w:rPr>
  </w:style>
  <w:style w:type="paragraph" w:styleId="849">
    <w:name w:val="Заголовок 5"/>
    <w:basedOn w:val="844"/>
    <w:next w:val="844"/>
    <w:link w:val="844"/>
    <w:qFormat/>
    <w:pPr>
      <w:numPr>
        <w:ilvl w:val="4"/>
        <w:numId w:val="1"/>
      </w:numPr>
      <w:keepNext/>
      <w:outlineLvl w:val="4"/>
    </w:pPr>
    <w:rPr>
      <w:sz w:val="28"/>
    </w:rPr>
  </w:style>
  <w:style w:type="paragraph" w:styleId="850">
    <w:name w:val="Заголовок 8"/>
    <w:basedOn w:val="844"/>
    <w:next w:val="844"/>
    <w:link w:val="844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character" w:styleId="851">
    <w:name w:val="Основной шрифт абзаца"/>
    <w:next w:val="851"/>
    <w:link w:val="844"/>
    <w:uiPriority w:val="1"/>
    <w:unhideWhenUsed/>
  </w:style>
  <w:style w:type="table" w:styleId="852">
    <w:name w:val="Обычная таблица"/>
    <w:next w:val="852"/>
    <w:link w:val="844"/>
    <w:uiPriority w:val="99"/>
    <w:semiHidden/>
    <w:unhideWhenUsed/>
    <w:tblPr/>
  </w:style>
  <w:style w:type="numbering" w:styleId="853">
    <w:name w:val="Нет списка"/>
    <w:next w:val="853"/>
    <w:link w:val="844"/>
    <w:uiPriority w:val="99"/>
    <w:semiHidden/>
    <w:unhideWhenUsed/>
  </w:style>
  <w:style w:type="character" w:styleId="854">
    <w:name w:val="WW8Num1z0"/>
    <w:next w:val="854"/>
    <w:link w:val="844"/>
  </w:style>
  <w:style w:type="character" w:styleId="855">
    <w:name w:val="WW8Num1z1"/>
    <w:next w:val="855"/>
    <w:link w:val="844"/>
  </w:style>
  <w:style w:type="character" w:styleId="856">
    <w:name w:val="WW8Num1z2"/>
    <w:next w:val="856"/>
    <w:link w:val="844"/>
  </w:style>
  <w:style w:type="character" w:styleId="857">
    <w:name w:val="WW8Num1z3"/>
    <w:next w:val="857"/>
    <w:link w:val="844"/>
  </w:style>
  <w:style w:type="character" w:styleId="858">
    <w:name w:val="WW8Num1z4"/>
    <w:next w:val="858"/>
    <w:link w:val="844"/>
  </w:style>
  <w:style w:type="character" w:styleId="859">
    <w:name w:val="WW8Num1z5"/>
    <w:next w:val="859"/>
    <w:link w:val="844"/>
  </w:style>
  <w:style w:type="character" w:styleId="860">
    <w:name w:val="WW8Num1z6"/>
    <w:next w:val="860"/>
    <w:link w:val="844"/>
  </w:style>
  <w:style w:type="character" w:styleId="861">
    <w:name w:val="WW8Num1z7"/>
    <w:next w:val="861"/>
    <w:link w:val="844"/>
  </w:style>
  <w:style w:type="character" w:styleId="862">
    <w:name w:val="WW8Num1z8"/>
    <w:next w:val="862"/>
    <w:link w:val="844"/>
  </w:style>
  <w:style w:type="character" w:styleId="863">
    <w:name w:val="WW8Num2z0"/>
    <w:next w:val="863"/>
    <w:link w:val="844"/>
  </w:style>
  <w:style w:type="character" w:styleId="864">
    <w:name w:val="WW8Num3z0"/>
    <w:next w:val="864"/>
    <w:link w:val="844"/>
  </w:style>
  <w:style w:type="character" w:styleId="865">
    <w:name w:val="WW8Num4z0"/>
    <w:next w:val="865"/>
    <w:link w:val="844"/>
    <w:rPr>
      <w:rFonts w:eastAsia="SimSun"/>
      <w:bCs/>
      <w:iCs/>
      <w:sz w:val="28"/>
      <w:szCs w:val="28"/>
    </w:rPr>
  </w:style>
  <w:style w:type="character" w:styleId="866">
    <w:name w:val="WW8Num5z0"/>
    <w:next w:val="866"/>
    <w:link w:val="844"/>
  </w:style>
  <w:style w:type="character" w:styleId="867">
    <w:name w:val="WW8Num2z1"/>
    <w:next w:val="867"/>
    <w:link w:val="844"/>
    <w:rPr>
      <w:sz w:val="28"/>
      <w:szCs w:val="28"/>
    </w:rPr>
  </w:style>
  <w:style w:type="character" w:styleId="868">
    <w:name w:val="WW8Num2z2"/>
    <w:next w:val="868"/>
    <w:link w:val="844"/>
  </w:style>
  <w:style w:type="character" w:styleId="869">
    <w:name w:val="WW8Num2z3"/>
    <w:next w:val="869"/>
    <w:link w:val="844"/>
  </w:style>
  <w:style w:type="character" w:styleId="870">
    <w:name w:val="WW8Num2z4"/>
    <w:next w:val="870"/>
    <w:link w:val="844"/>
  </w:style>
  <w:style w:type="character" w:styleId="871">
    <w:name w:val="WW8Num2z5"/>
    <w:next w:val="871"/>
    <w:link w:val="844"/>
  </w:style>
  <w:style w:type="character" w:styleId="872">
    <w:name w:val="WW8Num2z6"/>
    <w:next w:val="872"/>
    <w:link w:val="844"/>
  </w:style>
  <w:style w:type="character" w:styleId="873">
    <w:name w:val="WW8Num2z7"/>
    <w:next w:val="873"/>
    <w:link w:val="844"/>
  </w:style>
  <w:style w:type="character" w:styleId="874">
    <w:name w:val="WW8Num2z8"/>
    <w:next w:val="874"/>
    <w:link w:val="844"/>
  </w:style>
  <w:style w:type="character" w:styleId="875">
    <w:name w:val="WW8Num3z1"/>
    <w:next w:val="875"/>
    <w:link w:val="844"/>
  </w:style>
  <w:style w:type="character" w:styleId="876">
    <w:name w:val="WW8Num3z2"/>
    <w:next w:val="876"/>
    <w:link w:val="844"/>
  </w:style>
  <w:style w:type="character" w:styleId="877">
    <w:name w:val="WW8Num3z3"/>
    <w:next w:val="877"/>
    <w:link w:val="844"/>
  </w:style>
  <w:style w:type="character" w:styleId="878">
    <w:name w:val="WW8Num3z4"/>
    <w:next w:val="878"/>
    <w:link w:val="844"/>
  </w:style>
  <w:style w:type="character" w:styleId="879">
    <w:name w:val="WW8Num3z5"/>
    <w:next w:val="879"/>
    <w:link w:val="844"/>
  </w:style>
  <w:style w:type="character" w:styleId="880">
    <w:name w:val="WW8Num3z6"/>
    <w:next w:val="880"/>
    <w:link w:val="844"/>
  </w:style>
  <w:style w:type="character" w:styleId="881">
    <w:name w:val="WW8Num3z7"/>
    <w:next w:val="881"/>
    <w:link w:val="844"/>
  </w:style>
  <w:style w:type="character" w:styleId="882">
    <w:name w:val="WW8Num3z8"/>
    <w:next w:val="882"/>
    <w:link w:val="844"/>
  </w:style>
  <w:style w:type="character" w:styleId="883">
    <w:name w:val="WW8Num4z1"/>
    <w:next w:val="883"/>
    <w:link w:val="844"/>
  </w:style>
  <w:style w:type="character" w:styleId="884">
    <w:name w:val="WW8Num4z2"/>
    <w:next w:val="884"/>
    <w:link w:val="844"/>
  </w:style>
  <w:style w:type="character" w:styleId="885">
    <w:name w:val="WW8Num4z3"/>
    <w:next w:val="885"/>
    <w:link w:val="844"/>
  </w:style>
  <w:style w:type="character" w:styleId="886">
    <w:name w:val="WW8Num4z4"/>
    <w:next w:val="886"/>
    <w:link w:val="844"/>
  </w:style>
  <w:style w:type="character" w:styleId="887">
    <w:name w:val="WW8Num4z5"/>
    <w:next w:val="887"/>
    <w:link w:val="844"/>
  </w:style>
  <w:style w:type="character" w:styleId="888">
    <w:name w:val="WW8Num4z6"/>
    <w:next w:val="888"/>
    <w:link w:val="844"/>
  </w:style>
  <w:style w:type="character" w:styleId="889">
    <w:name w:val="WW8Num4z7"/>
    <w:next w:val="889"/>
    <w:link w:val="844"/>
  </w:style>
  <w:style w:type="character" w:styleId="890">
    <w:name w:val="WW8Num4z8"/>
    <w:next w:val="890"/>
    <w:link w:val="844"/>
  </w:style>
  <w:style w:type="character" w:styleId="891">
    <w:name w:val="WW8Num5z1"/>
    <w:next w:val="891"/>
    <w:link w:val="844"/>
  </w:style>
  <w:style w:type="character" w:styleId="892">
    <w:name w:val="WW8Num5z2"/>
    <w:next w:val="892"/>
    <w:link w:val="844"/>
  </w:style>
  <w:style w:type="character" w:styleId="893">
    <w:name w:val="WW8Num5z3"/>
    <w:next w:val="893"/>
    <w:link w:val="844"/>
  </w:style>
  <w:style w:type="character" w:styleId="894">
    <w:name w:val="WW8Num5z4"/>
    <w:next w:val="894"/>
    <w:link w:val="844"/>
  </w:style>
  <w:style w:type="character" w:styleId="895">
    <w:name w:val="WW8Num5z5"/>
    <w:next w:val="895"/>
    <w:link w:val="844"/>
  </w:style>
  <w:style w:type="character" w:styleId="896">
    <w:name w:val="WW8Num5z6"/>
    <w:next w:val="896"/>
    <w:link w:val="844"/>
  </w:style>
  <w:style w:type="character" w:styleId="897">
    <w:name w:val="WW8Num5z7"/>
    <w:next w:val="897"/>
    <w:link w:val="844"/>
  </w:style>
  <w:style w:type="character" w:styleId="898">
    <w:name w:val="WW8Num5z8"/>
    <w:next w:val="898"/>
    <w:link w:val="844"/>
  </w:style>
  <w:style w:type="character" w:styleId="899">
    <w:name w:val="WW8Num6z0"/>
    <w:next w:val="899"/>
    <w:link w:val="844"/>
  </w:style>
  <w:style w:type="character" w:styleId="900">
    <w:name w:val="WW8Num6z1"/>
    <w:next w:val="900"/>
    <w:link w:val="844"/>
  </w:style>
  <w:style w:type="character" w:styleId="901">
    <w:name w:val="WW8Num6z2"/>
    <w:next w:val="901"/>
    <w:link w:val="844"/>
  </w:style>
  <w:style w:type="character" w:styleId="902">
    <w:name w:val="WW8Num6z3"/>
    <w:next w:val="902"/>
    <w:link w:val="844"/>
  </w:style>
  <w:style w:type="character" w:styleId="903">
    <w:name w:val="WW8Num6z4"/>
    <w:next w:val="903"/>
    <w:link w:val="844"/>
  </w:style>
  <w:style w:type="character" w:styleId="904">
    <w:name w:val="WW8Num6z5"/>
    <w:next w:val="904"/>
    <w:link w:val="844"/>
  </w:style>
  <w:style w:type="character" w:styleId="905">
    <w:name w:val="WW8Num6z6"/>
    <w:next w:val="905"/>
    <w:link w:val="844"/>
  </w:style>
  <w:style w:type="character" w:styleId="906">
    <w:name w:val="WW8Num6z7"/>
    <w:next w:val="906"/>
    <w:link w:val="844"/>
  </w:style>
  <w:style w:type="character" w:styleId="907">
    <w:name w:val="WW8Num6z8"/>
    <w:next w:val="907"/>
    <w:link w:val="844"/>
  </w:style>
  <w:style w:type="character" w:styleId="908">
    <w:name w:val="WW8Num7z0"/>
    <w:next w:val="908"/>
    <w:link w:val="844"/>
  </w:style>
  <w:style w:type="character" w:styleId="909">
    <w:name w:val="WW8Num7z1"/>
    <w:next w:val="909"/>
    <w:link w:val="844"/>
  </w:style>
  <w:style w:type="character" w:styleId="910">
    <w:name w:val="WW8Num7z2"/>
    <w:next w:val="910"/>
    <w:link w:val="844"/>
  </w:style>
  <w:style w:type="character" w:styleId="911">
    <w:name w:val="WW8Num7z3"/>
    <w:next w:val="911"/>
    <w:link w:val="844"/>
  </w:style>
  <w:style w:type="character" w:styleId="912">
    <w:name w:val="WW8Num7z4"/>
    <w:next w:val="912"/>
    <w:link w:val="844"/>
  </w:style>
  <w:style w:type="character" w:styleId="913">
    <w:name w:val="WW8Num7z5"/>
    <w:next w:val="913"/>
    <w:link w:val="844"/>
  </w:style>
  <w:style w:type="character" w:styleId="914">
    <w:name w:val="WW8Num7z6"/>
    <w:next w:val="914"/>
    <w:link w:val="844"/>
  </w:style>
  <w:style w:type="character" w:styleId="915">
    <w:name w:val="WW8Num7z7"/>
    <w:next w:val="915"/>
    <w:link w:val="844"/>
  </w:style>
  <w:style w:type="character" w:styleId="916">
    <w:name w:val="WW8Num7z8"/>
    <w:next w:val="916"/>
    <w:link w:val="844"/>
  </w:style>
  <w:style w:type="character" w:styleId="917">
    <w:name w:val="WW8Num8z0"/>
    <w:next w:val="917"/>
    <w:link w:val="844"/>
  </w:style>
  <w:style w:type="character" w:styleId="918">
    <w:name w:val="WW8Num8z1"/>
    <w:next w:val="918"/>
    <w:link w:val="844"/>
  </w:style>
  <w:style w:type="character" w:styleId="919">
    <w:name w:val="WW8Num8z2"/>
    <w:next w:val="919"/>
    <w:link w:val="844"/>
  </w:style>
  <w:style w:type="character" w:styleId="920">
    <w:name w:val="WW8Num8z3"/>
    <w:next w:val="920"/>
    <w:link w:val="844"/>
  </w:style>
  <w:style w:type="character" w:styleId="921">
    <w:name w:val="WW8Num8z4"/>
    <w:next w:val="921"/>
    <w:link w:val="844"/>
  </w:style>
  <w:style w:type="character" w:styleId="922">
    <w:name w:val="WW8Num8z5"/>
    <w:next w:val="922"/>
    <w:link w:val="844"/>
  </w:style>
  <w:style w:type="character" w:styleId="923">
    <w:name w:val="WW8Num8z6"/>
    <w:next w:val="923"/>
    <w:link w:val="844"/>
  </w:style>
  <w:style w:type="character" w:styleId="924">
    <w:name w:val="WW8Num8z7"/>
    <w:next w:val="924"/>
    <w:link w:val="844"/>
  </w:style>
  <w:style w:type="character" w:styleId="925">
    <w:name w:val="WW8Num8z8"/>
    <w:next w:val="925"/>
    <w:link w:val="844"/>
  </w:style>
  <w:style w:type="character" w:styleId="926">
    <w:name w:val="WW8Num9z0"/>
    <w:next w:val="926"/>
    <w:link w:val="844"/>
    <w:rPr>
      <w:rFonts w:eastAsia="SimSun"/>
      <w:bCs/>
      <w:iCs/>
      <w:sz w:val="28"/>
      <w:szCs w:val="28"/>
    </w:rPr>
  </w:style>
  <w:style w:type="character" w:styleId="927">
    <w:name w:val="WW8Num9z1"/>
    <w:next w:val="927"/>
    <w:link w:val="844"/>
  </w:style>
  <w:style w:type="character" w:styleId="928">
    <w:name w:val="WW8Num9z2"/>
    <w:next w:val="928"/>
    <w:link w:val="844"/>
  </w:style>
  <w:style w:type="character" w:styleId="929">
    <w:name w:val="WW8Num9z3"/>
    <w:next w:val="929"/>
    <w:link w:val="844"/>
  </w:style>
  <w:style w:type="character" w:styleId="930">
    <w:name w:val="WW8Num9z4"/>
    <w:next w:val="930"/>
    <w:link w:val="844"/>
  </w:style>
  <w:style w:type="character" w:styleId="931">
    <w:name w:val="WW8Num9z5"/>
    <w:next w:val="931"/>
    <w:link w:val="844"/>
  </w:style>
  <w:style w:type="character" w:styleId="932">
    <w:name w:val="WW8Num9z6"/>
    <w:next w:val="932"/>
    <w:link w:val="844"/>
  </w:style>
  <w:style w:type="character" w:styleId="933">
    <w:name w:val="WW8Num9z7"/>
    <w:next w:val="933"/>
    <w:link w:val="844"/>
  </w:style>
  <w:style w:type="character" w:styleId="934">
    <w:name w:val="WW8Num9z8"/>
    <w:next w:val="934"/>
    <w:link w:val="844"/>
  </w:style>
  <w:style w:type="character" w:styleId="935">
    <w:name w:val="WW8Num10z0"/>
    <w:next w:val="935"/>
    <w:link w:val="844"/>
    <w:rPr>
      <w:rFonts w:ascii="Wingdings" w:hAnsi="Wingdings" w:cs="Wingdings"/>
    </w:rPr>
  </w:style>
  <w:style w:type="character" w:styleId="936">
    <w:name w:val="WW8Num10z1"/>
    <w:next w:val="936"/>
    <w:link w:val="844"/>
    <w:rPr>
      <w:rFonts w:ascii="Courier New" w:hAnsi="Courier New" w:cs="Courier New"/>
    </w:rPr>
  </w:style>
  <w:style w:type="character" w:styleId="937">
    <w:name w:val="WW8Num10z2"/>
    <w:next w:val="937"/>
    <w:link w:val="844"/>
    <w:rPr>
      <w:rFonts w:ascii="Wingdings" w:hAnsi="Wingdings" w:cs="Wingdings"/>
    </w:rPr>
  </w:style>
  <w:style w:type="character" w:styleId="938">
    <w:name w:val="WW8Num10z3"/>
    <w:next w:val="938"/>
    <w:link w:val="844"/>
    <w:rPr>
      <w:rFonts w:ascii="Symbol" w:hAnsi="Symbol" w:cs="Symbol"/>
    </w:rPr>
  </w:style>
  <w:style w:type="character" w:styleId="939">
    <w:name w:val="WW8Num11z0"/>
    <w:next w:val="939"/>
    <w:link w:val="844"/>
    <w:rPr>
      <w:sz w:val="28"/>
      <w:szCs w:val="28"/>
    </w:rPr>
  </w:style>
  <w:style w:type="character" w:styleId="940">
    <w:name w:val="WW8Num11z1"/>
    <w:next w:val="940"/>
    <w:link w:val="844"/>
  </w:style>
  <w:style w:type="character" w:styleId="941">
    <w:name w:val="WW8Num11z2"/>
    <w:next w:val="941"/>
    <w:link w:val="844"/>
  </w:style>
  <w:style w:type="character" w:styleId="942">
    <w:name w:val="WW8Num11z3"/>
    <w:next w:val="942"/>
    <w:link w:val="844"/>
  </w:style>
  <w:style w:type="character" w:styleId="943">
    <w:name w:val="WW8Num11z4"/>
    <w:next w:val="943"/>
    <w:link w:val="844"/>
  </w:style>
  <w:style w:type="character" w:styleId="944">
    <w:name w:val="WW8Num11z5"/>
    <w:next w:val="944"/>
    <w:link w:val="844"/>
  </w:style>
  <w:style w:type="character" w:styleId="945">
    <w:name w:val="WW8Num11z6"/>
    <w:next w:val="945"/>
    <w:link w:val="844"/>
  </w:style>
  <w:style w:type="character" w:styleId="946">
    <w:name w:val="WW8Num11z7"/>
    <w:next w:val="946"/>
    <w:link w:val="844"/>
  </w:style>
  <w:style w:type="character" w:styleId="947">
    <w:name w:val="WW8Num11z8"/>
    <w:next w:val="947"/>
    <w:link w:val="844"/>
  </w:style>
  <w:style w:type="character" w:styleId="948">
    <w:name w:val="WW8Num12z0"/>
    <w:next w:val="948"/>
    <w:link w:val="844"/>
  </w:style>
  <w:style w:type="character" w:styleId="949">
    <w:name w:val="WW8Num12z1"/>
    <w:next w:val="949"/>
    <w:link w:val="844"/>
  </w:style>
  <w:style w:type="character" w:styleId="950">
    <w:name w:val="WW8Num12z2"/>
    <w:next w:val="950"/>
    <w:link w:val="844"/>
  </w:style>
  <w:style w:type="character" w:styleId="951">
    <w:name w:val="WW8Num12z3"/>
    <w:next w:val="951"/>
    <w:link w:val="844"/>
  </w:style>
  <w:style w:type="character" w:styleId="952">
    <w:name w:val="WW8Num12z4"/>
    <w:next w:val="952"/>
    <w:link w:val="844"/>
  </w:style>
  <w:style w:type="character" w:styleId="953">
    <w:name w:val="WW8Num12z5"/>
    <w:next w:val="953"/>
    <w:link w:val="844"/>
  </w:style>
  <w:style w:type="character" w:styleId="954">
    <w:name w:val="WW8Num12z6"/>
    <w:next w:val="954"/>
    <w:link w:val="844"/>
  </w:style>
  <w:style w:type="character" w:styleId="955">
    <w:name w:val="WW8Num12z7"/>
    <w:next w:val="955"/>
    <w:link w:val="844"/>
  </w:style>
  <w:style w:type="character" w:styleId="956">
    <w:name w:val="WW8Num12z8"/>
    <w:next w:val="956"/>
    <w:link w:val="844"/>
  </w:style>
  <w:style w:type="character" w:styleId="957">
    <w:name w:val="WW8Num13z0"/>
    <w:next w:val="957"/>
    <w:link w:val="844"/>
  </w:style>
  <w:style w:type="character" w:styleId="958">
    <w:name w:val="WW8Num14z0"/>
    <w:next w:val="958"/>
    <w:link w:val="844"/>
  </w:style>
  <w:style w:type="character" w:styleId="959">
    <w:name w:val="WW8Num14z1"/>
    <w:next w:val="959"/>
    <w:link w:val="844"/>
  </w:style>
  <w:style w:type="character" w:styleId="960">
    <w:name w:val="WW8Num14z2"/>
    <w:next w:val="960"/>
    <w:link w:val="844"/>
  </w:style>
  <w:style w:type="character" w:styleId="961">
    <w:name w:val="WW8Num14z3"/>
    <w:next w:val="961"/>
    <w:link w:val="844"/>
  </w:style>
  <w:style w:type="character" w:styleId="962">
    <w:name w:val="WW8Num14z4"/>
    <w:next w:val="962"/>
    <w:link w:val="844"/>
  </w:style>
  <w:style w:type="character" w:styleId="963">
    <w:name w:val="WW8Num14z5"/>
    <w:next w:val="963"/>
    <w:link w:val="844"/>
  </w:style>
  <w:style w:type="character" w:styleId="964">
    <w:name w:val="WW8Num14z6"/>
    <w:next w:val="964"/>
    <w:link w:val="844"/>
  </w:style>
  <w:style w:type="character" w:styleId="965">
    <w:name w:val="WW8Num14z7"/>
    <w:next w:val="965"/>
    <w:link w:val="844"/>
  </w:style>
  <w:style w:type="character" w:styleId="966">
    <w:name w:val="WW8Num14z8"/>
    <w:next w:val="966"/>
    <w:link w:val="844"/>
  </w:style>
  <w:style w:type="character" w:styleId="967">
    <w:name w:val="WW8Num15z0"/>
    <w:next w:val="967"/>
    <w:link w:val="844"/>
  </w:style>
  <w:style w:type="character" w:styleId="968">
    <w:name w:val="WW8Num15z1"/>
    <w:next w:val="968"/>
    <w:link w:val="844"/>
  </w:style>
  <w:style w:type="character" w:styleId="969">
    <w:name w:val="WW8Num15z2"/>
    <w:next w:val="969"/>
    <w:link w:val="844"/>
  </w:style>
  <w:style w:type="character" w:styleId="970">
    <w:name w:val="WW8Num15z3"/>
    <w:next w:val="970"/>
    <w:link w:val="844"/>
  </w:style>
  <w:style w:type="character" w:styleId="971">
    <w:name w:val="WW8Num15z4"/>
    <w:next w:val="971"/>
    <w:link w:val="844"/>
  </w:style>
  <w:style w:type="character" w:styleId="972">
    <w:name w:val="WW8Num15z5"/>
    <w:next w:val="972"/>
    <w:link w:val="844"/>
  </w:style>
  <w:style w:type="character" w:styleId="973">
    <w:name w:val="WW8Num15z6"/>
    <w:next w:val="973"/>
    <w:link w:val="844"/>
  </w:style>
  <w:style w:type="character" w:styleId="974">
    <w:name w:val="WW8Num15z7"/>
    <w:next w:val="974"/>
    <w:link w:val="844"/>
  </w:style>
  <w:style w:type="character" w:styleId="975">
    <w:name w:val="WW8Num15z8"/>
    <w:next w:val="975"/>
    <w:link w:val="844"/>
  </w:style>
  <w:style w:type="character" w:styleId="976">
    <w:name w:val="WW8Num16z0"/>
    <w:next w:val="976"/>
    <w:link w:val="844"/>
  </w:style>
  <w:style w:type="character" w:styleId="977">
    <w:name w:val="WW8Num16z1"/>
    <w:next w:val="977"/>
    <w:link w:val="844"/>
  </w:style>
  <w:style w:type="character" w:styleId="978">
    <w:name w:val="WW8Num16z2"/>
    <w:next w:val="978"/>
    <w:link w:val="844"/>
  </w:style>
  <w:style w:type="character" w:styleId="979">
    <w:name w:val="WW8Num16z3"/>
    <w:next w:val="979"/>
    <w:link w:val="844"/>
  </w:style>
  <w:style w:type="character" w:styleId="980">
    <w:name w:val="WW8Num16z4"/>
    <w:next w:val="980"/>
    <w:link w:val="844"/>
  </w:style>
  <w:style w:type="character" w:styleId="981">
    <w:name w:val="WW8Num16z5"/>
    <w:next w:val="981"/>
    <w:link w:val="844"/>
  </w:style>
  <w:style w:type="character" w:styleId="982">
    <w:name w:val="WW8Num16z6"/>
    <w:next w:val="982"/>
    <w:link w:val="844"/>
  </w:style>
  <w:style w:type="character" w:styleId="983">
    <w:name w:val="WW8Num16z7"/>
    <w:next w:val="983"/>
    <w:link w:val="844"/>
  </w:style>
  <w:style w:type="character" w:styleId="984">
    <w:name w:val="WW8Num16z8"/>
    <w:next w:val="984"/>
    <w:link w:val="844"/>
  </w:style>
  <w:style w:type="character" w:styleId="985">
    <w:name w:val="WW8Num17z0"/>
    <w:next w:val="985"/>
    <w:link w:val="844"/>
    <w:rPr>
      <w:rFonts w:eastAsia="SimSun"/>
      <w:bCs/>
      <w:iCs/>
      <w:sz w:val="28"/>
      <w:szCs w:val="28"/>
    </w:rPr>
  </w:style>
  <w:style w:type="character" w:styleId="986">
    <w:name w:val="WW8Num17z1"/>
    <w:next w:val="986"/>
    <w:link w:val="844"/>
  </w:style>
  <w:style w:type="character" w:styleId="987">
    <w:name w:val="WW8Num17z2"/>
    <w:next w:val="987"/>
    <w:link w:val="844"/>
  </w:style>
  <w:style w:type="character" w:styleId="988">
    <w:name w:val="WW8Num17z3"/>
    <w:next w:val="988"/>
    <w:link w:val="844"/>
  </w:style>
  <w:style w:type="character" w:styleId="989">
    <w:name w:val="WW8Num17z4"/>
    <w:next w:val="989"/>
    <w:link w:val="844"/>
  </w:style>
  <w:style w:type="character" w:styleId="990">
    <w:name w:val="WW8Num17z5"/>
    <w:next w:val="990"/>
    <w:link w:val="844"/>
  </w:style>
  <w:style w:type="character" w:styleId="991">
    <w:name w:val="WW8Num17z6"/>
    <w:next w:val="991"/>
    <w:link w:val="844"/>
  </w:style>
  <w:style w:type="character" w:styleId="992">
    <w:name w:val="WW8Num17z7"/>
    <w:next w:val="992"/>
    <w:link w:val="844"/>
  </w:style>
  <w:style w:type="character" w:styleId="993">
    <w:name w:val="WW8Num17z8"/>
    <w:next w:val="993"/>
    <w:link w:val="844"/>
  </w:style>
  <w:style w:type="character" w:styleId="994">
    <w:name w:val="WW8Num18z0"/>
    <w:next w:val="994"/>
    <w:link w:val="844"/>
  </w:style>
  <w:style w:type="character" w:styleId="995">
    <w:name w:val="WW8Num18z1"/>
    <w:next w:val="995"/>
    <w:link w:val="844"/>
  </w:style>
  <w:style w:type="character" w:styleId="996">
    <w:name w:val="WW8Num18z2"/>
    <w:next w:val="996"/>
    <w:link w:val="844"/>
  </w:style>
  <w:style w:type="character" w:styleId="997">
    <w:name w:val="WW8Num18z3"/>
    <w:next w:val="997"/>
    <w:link w:val="844"/>
  </w:style>
  <w:style w:type="character" w:styleId="998">
    <w:name w:val="WW8Num18z4"/>
    <w:next w:val="998"/>
    <w:link w:val="844"/>
  </w:style>
  <w:style w:type="character" w:styleId="999">
    <w:name w:val="WW8Num18z5"/>
    <w:next w:val="999"/>
    <w:link w:val="844"/>
  </w:style>
  <w:style w:type="character" w:styleId="1000">
    <w:name w:val="WW8Num18z6"/>
    <w:next w:val="1000"/>
    <w:link w:val="844"/>
  </w:style>
  <w:style w:type="character" w:styleId="1001">
    <w:name w:val="WW8Num18z7"/>
    <w:next w:val="1001"/>
    <w:link w:val="844"/>
  </w:style>
  <w:style w:type="character" w:styleId="1002">
    <w:name w:val="WW8Num18z8"/>
    <w:next w:val="1002"/>
    <w:link w:val="844"/>
  </w:style>
  <w:style w:type="character" w:styleId="1003">
    <w:name w:val="WW8Num19z0"/>
    <w:next w:val="1003"/>
    <w:link w:val="844"/>
  </w:style>
  <w:style w:type="character" w:styleId="1004">
    <w:name w:val="WW8Num19z1"/>
    <w:next w:val="1004"/>
    <w:link w:val="844"/>
    <w:rPr>
      <w:b w:val="0"/>
    </w:rPr>
  </w:style>
  <w:style w:type="character" w:styleId="1005">
    <w:name w:val="WW8Num19z2"/>
    <w:next w:val="1005"/>
    <w:link w:val="844"/>
  </w:style>
  <w:style w:type="character" w:styleId="1006">
    <w:name w:val="WW8Num19z3"/>
    <w:next w:val="1006"/>
    <w:link w:val="844"/>
  </w:style>
  <w:style w:type="character" w:styleId="1007">
    <w:name w:val="WW8Num19z4"/>
    <w:next w:val="1007"/>
    <w:link w:val="844"/>
  </w:style>
  <w:style w:type="character" w:styleId="1008">
    <w:name w:val="WW8Num19z5"/>
    <w:next w:val="1008"/>
    <w:link w:val="844"/>
  </w:style>
  <w:style w:type="character" w:styleId="1009">
    <w:name w:val="WW8Num19z6"/>
    <w:next w:val="1009"/>
    <w:link w:val="844"/>
  </w:style>
  <w:style w:type="character" w:styleId="1010">
    <w:name w:val="WW8Num19z7"/>
    <w:next w:val="1010"/>
    <w:link w:val="844"/>
  </w:style>
  <w:style w:type="character" w:styleId="1011">
    <w:name w:val="WW8Num19z8"/>
    <w:next w:val="1011"/>
    <w:link w:val="844"/>
  </w:style>
  <w:style w:type="character" w:styleId="1012">
    <w:name w:val="WW8Num20z0"/>
    <w:next w:val="1012"/>
    <w:link w:val="844"/>
  </w:style>
  <w:style w:type="character" w:styleId="1013">
    <w:name w:val="WW8Num20z1"/>
    <w:next w:val="1013"/>
    <w:link w:val="844"/>
  </w:style>
  <w:style w:type="character" w:styleId="1014">
    <w:name w:val="WW8Num20z2"/>
    <w:next w:val="1014"/>
    <w:link w:val="844"/>
  </w:style>
  <w:style w:type="character" w:styleId="1015">
    <w:name w:val="WW8Num20z3"/>
    <w:next w:val="1015"/>
    <w:link w:val="844"/>
  </w:style>
  <w:style w:type="character" w:styleId="1016">
    <w:name w:val="WW8Num20z4"/>
    <w:next w:val="1016"/>
    <w:link w:val="844"/>
  </w:style>
  <w:style w:type="character" w:styleId="1017">
    <w:name w:val="WW8Num20z5"/>
    <w:next w:val="1017"/>
    <w:link w:val="844"/>
  </w:style>
  <w:style w:type="character" w:styleId="1018">
    <w:name w:val="WW8Num20z6"/>
    <w:next w:val="1018"/>
    <w:link w:val="844"/>
  </w:style>
  <w:style w:type="character" w:styleId="1019">
    <w:name w:val="WW8Num20z7"/>
    <w:next w:val="1019"/>
    <w:link w:val="844"/>
  </w:style>
  <w:style w:type="character" w:styleId="1020">
    <w:name w:val="WW8Num20z8"/>
    <w:next w:val="1020"/>
    <w:link w:val="844"/>
  </w:style>
  <w:style w:type="character" w:styleId="1021">
    <w:name w:val="WW8Num21z0"/>
    <w:next w:val="1021"/>
    <w:link w:val="844"/>
    <w:rPr>
      <w:rFonts w:eastAsia="SimSun"/>
      <w:bCs/>
      <w:iCs/>
      <w:sz w:val="28"/>
      <w:szCs w:val="28"/>
    </w:rPr>
  </w:style>
  <w:style w:type="character" w:styleId="1022">
    <w:name w:val="WW8Num21z1"/>
    <w:next w:val="1022"/>
    <w:link w:val="844"/>
  </w:style>
  <w:style w:type="character" w:styleId="1023">
    <w:name w:val="WW8Num21z2"/>
    <w:next w:val="1023"/>
    <w:link w:val="844"/>
  </w:style>
  <w:style w:type="character" w:styleId="1024">
    <w:name w:val="WW8Num21z3"/>
    <w:next w:val="1024"/>
    <w:link w:val="844"/>
  </w:style>
  <w:style w:type="character" w:styleId="1025">
    <w:name w:val="WW8Num21z4"/>
    <w:next w:val="1025"/>
    <w:link w:val="844"/>
  </w:style>
  <w:style w:type="character" w:styleId="1026">
    <w:name w:val="WW8Num21z5"/>
    <w:next w:val="1026"/>
    <w:link w:val="844"/>
  </w:style>
  <w:style w:type="character" w:styleId="1027">
    <w:name w:val="WW8Num21z6"/>
    <w:next w:val="1027"/>
    <w:link w:val="844"/>
  </w:style>
  <w:style w:type="character" w:styleId="1028">
    <w:name w:val="WW8Num21z7"/>
    <w:next w:val="1028"/>
    <w:link w:val="844"/>
  </w:style>
  <w:style w:type="character" w:styleId="1029">
    <w:name w:val="WW8Num21z8"/>
    <w:next w:val="1029"/>
    <w:link w:val="844"/>
  </w:style>
  <w:style w:type="character" w:styleId="1030">
    <w:name w:val="Основной шрифт абзаца2"/>
    <w:next w:val="1030"/>
    <w:link w:val="844"/>
  </w:style>
  <w:style w:type="character" w:styleId="1031">
    <w:name w:val="WW8Num13z1"/>
    <w:next w:val="1031"/>
    <w:link w:val="844"/>
  </w:style>
  <w:style w:type="character" w:styleId="1032">
    <w:name w:val="WW8Num13z2"/>
    <w:next w:val="1032"/>
    <w:link w:val="844"/>
  </w:style>
  <w:style w:type="character" w:styleId="1033">
    <w:name w:val="WW8Num13z3"/>
    <w:next w:val="1033"/>
    <w:link w:val="844"/>
  </w:style>
  <w:style w:type="character" w:styleId="1034">
    <w:name w:val="WW8Num13z4"/>
    <w:next w:val="1034"/>
    <w:link w:val="844"/>
  </w:style>
  <w:style w:type="character" w:styleId="1035">
    <w:name w:val="WW8Num13z5"/>
    <w:next w:val="1035"/>
    <w:link w:val="844"/>
  </w:style>
  <w:style w:type="character" w:styleId="1036">
    <w:name w:val="WW8Num13z6"/>
    <w:next w:val="1036"/>
    <w:link w:val="844"/>
  </w:style>
  <w:style w:type="character" w:styleId="1037">
    <w:name w:val="WW8Num13z7"/>
    <w:next w:val="1037"/>
    <w:link w:val="844"/>
  </w:style>
  <w:style w:type="character" w:styleId="1038">
    <w:name w:val="WW8Num13z8"/>
    <w:next w:val="1038"/>
    <w:link w:val="844"/>
  </w:style>
  <w:style w:type="character" w:styleId="1039">
    <w:name w:val="WW8Num22z0"/>
    <w:next w:val="1039"/>
    <w:link w:val="844"/>
  </w:style>
  <w:style w:type="character" w:styleId="1040">
    <w:name w:val="WW8Num22z1"/>
    <w:next w:val="1040"/>
    <w:link w:val="844"/>
  </w:style>
  <w:style w:type="character" w:styleId="1041">
    <w:name w:val="WW8Num22z2"/>
    <w:next w:val="1041"/>
    <w:link w:val="844"/>
  </w:style>
  <w:style w:type="character" w:styleId="1042">
    <w:name w:val="WW8Num22z3"/>
    <w:next w:val="1042"/>
    <w:link w:val="844"/>
  </w:style>
  <w:style w:type="character" w:styleId="1043">
    <w:name w:val="WW8Num22z4"/>
    <w:next w:val="1043"/>
    <w:link w:val="844"/>
  </w:style>
  <w:style w:type="character" w:styleId="1044">
    <w:name w:val="WW8Num22z5"/>
    <w:next w:val="1044"/>
    <w:link w:val="844"/>
  </w:style>
  <w:style w:type="character" w:styleId="1045">
    <w:name w:val="WW8Num22z6"/>
    <w:next w:val="1045"/>
    <w:link w:val="844"/>
  </w:style>
  <w:style w:type="character" w:styleId="1046">
    <w:name w:val="WW8Num22z7"/>
    <w:next w:val="1046"/>
    <w:link w:val="844"/>
  </w:style>
  <w:style w:type="character" w:styleId="1047">
    <w:name w:val="WW8Num22z8"/>
    <w:next w:val="1047"/>
    <w:link w:val="844"/>
  </w:style>
  <w:style w:type="character" w:styleId="1048">
    <w:name w:val="Основной шрифт абзаца1"/>
    <w:next w:val="1048"/>
    <w:link w:val="844"/>
  </w:style>
  <w:style w:type="character" w:styleId="1049">
    <w:name w:val="Гиперссылка"/>
    <w:next w:val="1049"/>
    <w:link w:val="844"/>
    <w:rPr>
      <w:color w:val="0000ff"/>
      <w:u w:val="single"/>
    </w:rPr>
  </w:style>
  <w:style w:type="character" w:styleId="1050">
    <w:name w:val="Заголовок 8 Знак"/>
    <w:next w:val="1050"/>
    <w:link w:val="844"/>
    <w:rPr>
      <w:rFonts w:ascii="Calibri" w:hAnsi="Calibri" w:cs="Calibri"/>
      <w:i/>
      <w:iCs/>
      <w:sz w:val="24"/>
      <w:szCs w:val="24"/>
    </w:rPr>
  </w:style>
  <w:style w:type="character" w:styleId="1051">
    <w:name w:val="Гипертекстовая ссылка"/>
    <w:next w:val="1051"/>
    <w:link w:val="844"/>
    <w:rPr>
      <w:color w:val="106bbe"/>
    </w:rPr>
  </w:style>
  <w:style w:type="character" w:styleId="1052">
    <w:name w:val="Цветовое выделение"/>
    <w:next w:val="1052"/>
    <w:link w:val="844"/>
    <w:rPr>
      <w:b/>
      <w:color w:val="26282f"/>
    </w:rPr>
  </w:style>
  <w:style w:type="paragraph" w:styleId="1053">
    <w:name w:val="Заголовок1"/>
    <w:basedOn w:val="844"/>
    <w:next w:val="1054"/>
    <w:link w:val="844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054">
    <w:name w:val="Основной текст"/>
    <w:basedOn w:val="844"/>
    <w:next w:val="1054"/>
    <w:link w:val="844"/>
    <w:pPr>
      <w:jc w:val="both"/>
    </w:pPr>
    <w:rPr>
      <w:sz w:val="24"/>
    </w:rPr>
  </w:style>
  <w:style w:type="paragraph" w:styleId="1055">
    <w:name w:val="Список"/>
    <w:basedOn w:val="1054"/>
    <w:next w:val="1055"/>
    <w:link w:val="844"/>
    <w:rPr>
      <w:rFonts w:cs="Lucida Sans"/>
    </w:rPr>
  </w:style>
  <w:style w:type="paragraph" w:styleId="1056">
    <w:name w:val="Название"/>
    <w:basedOn w:val="844"/>
    <w:next w:val="1056"/>
    <w:link w:val="844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57">
    <w:name w:val="Указатель2"/>
    <w:basedOn w:val="844"/>
    <w:next w:val="1057"/>
    <w:link w:val="844"/>
    <w:pPr>
      <w:suppressLineNumbers/>
    </w:pPr>
    <w:rPr>
      <w:rFonts w:cs="Mangal"/>
    </w:rPr>
  </w:style>
  <w:style w:type="paragraph" w:styleId="1058">
    <w:name w:val="Заголовок"/>
    <w:basedOn w:val="844"/>
    <w:next w:val="1054"/>
    <w:link w:val="844"/>
    <w:qFormat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059">
    <w:name w:val="Подзаголовок"/>
    <w:basedOn w:val="1053"/>
    <w:next w:val="1054"/>
    <w:link w:val="844"/>
    <w:qFormat/>
    <w:pPr>
      <w:jc w:val="center"/>
    </w:pPr>
    <w:rPr>
      <w:i/>
      <w:iCs/>
      <w:sz w:val="28"/>
      <w:szCs w:val="28"/>
    </w:rPr>
  </w:style>
  <w:style w:type="paragraph" w:styleId="1060">
    <w:name w:val="Название1"/>
    <w:basedOn w:val="844"/>
    <w:next w:val="1060"/>
    <w:link w:val="84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1061">
    <w:name w:val="Указатель1"/>
    <w:basedOn w:val="844"/>
    <w:next w:val="1061"/>
    <w:link w:val="844"/>
    <w:pPr>
      <w:suppressLineNumbers/>
    </w:pPr>
    <w:rPr>
      <w:rFonts w:cs="Lucida Sans"/>
    </w:rPr>
  </w:style>
  <w:style w:type="paragraph" w:styleId="1062">
    <w:name w:val="Основной текст с отступом 21"/>
    <w:basedOn w:val="844"/>
    <w:next w:val="1062"/>
    <w:link w:val="844"/>
    <w:pPr>
      <w:ind w:left="0" w:right="0" w:firstLine="851"/>
      <w:jc w:val="both"/>
    </w:pPr>
    <w:rPr>
      <w:sz w:val="28"/>
    </w:rPr>
  </w:style>
  <w:style w:type="paragraph" w:styleId="1063">
    <w:name w:val="Основной текст с отступом"/>
    <w:basedOn w:val="844"/>
    <w:next w:val="1063"/>
    <w:link w:val="844"/>
    <w:pPr>
      <w:ind w:left="0" w:right="0" w:firstLine="567"/>
    </w:pPr>
    <w:rPr>
      <w:sz w:val="24"/>
    </w:rPr>
  </w:style>
  <w:style w:type="paragraph" w:styleId="1064">
    <w:name w:val="Основной текст с отступом 31"/>
    <w:basedOn w:val="844"/>
    <w:next w:val="1064"/>
    <w:link w:val="844"/>
    <w:pPr>
      <w:ind w:left="0" w:right="0" w:firstLine="426"/>
    </w:pPr>
    <w:rPr>
      <w:sz w:val="24"/>
    </w:rPr>
  </w:style>
  <w:style w:type="paragraph" w:styleId="1065">
    <w:name w:val="Основной текст 21"/>
    <w:basedOn w:val="844"/>
    <w:next w:val="1065"/>
    <w:link w:val="844"/>
    <w:rPr>
      <w:sz w:val="28"/>
    </w:rPr>
  </w:style>
  <w:style w:type="paragraph" w:styleId="1066">
    <w:name w:val="Текст выноски"/>
    <w:basedOn w:val="844"/>
    <w:next w:val="1066"/>
    <w:link w:val="844"/>
    <w:rPr>
      <w:rFonts w:ascii="Tahoma" w:hAnsi="Tahoma" w:cs="Tahoma"/>
      <w:sz w:val="16"/>
      <w:szCs w:val="16"/>
    </w:rPr>
  </w:style>
  <w:style w:type="paragraph" w:styleId="1067">
    <w:name w:val="ConsPlusNormal"/>
    <w:next w:val="1067"/>
    <w:link w:val="844"/>
    <w:pPr>
      <w:ind w:firstLine="720"/>
      <w:widowControl w:val="off"/>
    </w:pPr>
    <w:rPr>
      <w:rFonts w:ascii="Arial" w:hAnsi="Arial" w:cs="Arial"/>
      <w:lang w:val="ru-RU" w:eastAsia="ar-SA" w:bidi="ar-SA"/>
    </w:rPr>
  </w:style>
  <w:style w:type="paragraph" w:styleId="1068">
    <w:name w:val="Абзац списка"/>
    <w:basedOn w:val="844"/>
    <w:next w:val="1068"/>
    <w:link w:val="844"/>
    <w:qFormat/>
    <w:pPr>
      <w:ind w:left="720" w:right="0" w:firstLine="0"/>
    </w:pPr>
  </w:style>
  <w:style w:type="paragraph" w:styleId="1069">
    <w:name w:val="Прижатый влево"/>
    <w:basedOn w:val="844"/>
    <w:next w:val="844"/>
    <w:link w:val="844"/>
    <w:rPr>
      <w:rFonts w:ascii="Arial" w:hAnsi="Arial" w:cs="Arial"/>
      <w:sz w:val="24"/>
      <w:szCs w:val="24"/>
    </w:rPr>
  </w:style>
  <w:style w:type="paragraph" w:styleId="1070">
    <w:name w:val="Нормальный (таблица)"/>
    <w:basedOn w:val="844"/>
    <w:next w:val="844"/>
    <w:link w:val="844"/>
    <w:pPr>
      <w:jc w:val="both"/>
      <w:widowControl w:val="off"/>
    </w:pPr>
    <w:rPr>
      <w:rFonts w:ascii="Times New Roman CYR" w:hAnsi="Times New Roman CYR" w:cs="Times New Roman CYR"/>
      <w:sz w:val="24"/>
      <w:szCs w:val="24"/>
    </w:rPr>
  </w:style>
  <w:style w:type="paragraph" w:styleId="1071">
    <w:name w:val="s_1"/>
    <w:basedOn w:val="844"/>
    <w:next w:val="1071"/>
    <w:link w:val="844"/>
    <w:pPr>
      <w:spacing w:before="280" w:after="280"/>
    </w:pPr>
    <w:rPr>
      <w:sz w:val="24"/>
      <w:szCs w:val="24"/>
    </w:rPr>
  </w:style>
  <w:style w:type="paragraph" w:styleId="1072">
    <w:name w:val="Обычный (веб)"/>
    <w:basedOn w:val="844"/>
    <w:next w:val="1072"/>
    <w:link w:val="844"/>
    <w:pPr>
      <w:spacing w:before="280" w:after="280"/>
    </w:pPr>
    <w:rPr>
      <w:color w:val="122b62"/>
      <w:sz w:val="24"/>
      <w:szCs w:val="24"/>
    </w:rPr>
  </w:style>
  <w:style w:type="paragraph" w:styleId="1073">
    <w:name w:val="Heading"/>
    <w:next w:val="1073"/>
    <w:link w:val="844"/>
    <w:rPr>
      <w:rFonts w:ascii="Arial" w:hAnsi="Arial" w:cs="Arial"/>
      <w:b/>
      <w:bCs/>
      <w:sz w:val="22"/>
      <w:szCs w:val="22"/>
      <w:lang w:val="ru-RU" w:eastAsia="ar-SA" w:bidi="ar-SA"/>
    </w:rPr>
  </w:style>
  <w:style w:type="paragraph" w:styleId="1074">
    <w:name w:val="Содержимое таблицы"/>
    <w:basedOn w:val="844"/>
    <w:next w:val="1074"/>
    <w:link w:val="844"/>
    <w:pPr>
      <w:suppressLineNumbers/>
    </w:pPr>
  </w:style>
  <w:style w:type="paragraph" w:styleId="1075">
    <w:name w:val="Заголовок таблицы"/>
    <w:basedOn w:val="1074"/>
    <w:next w:val="1075"/>
    <w:link w:val="844"/>
    <w:pPr>
      <w:jc w:val="center"/>
      <w:suppressLineNumbers/>
    </w:pPr>
    <w:rPr>
      <w:b/>
      <w:bCs/>
    </w:rPr>
  </w:style>
  <w:style w:type="paragraph" w:styleId="1076">
    <w:name w:val="s_16"/>
    <w:basedOn w:val="844"/>
    <w:next w:val="1076"/>
    <w:link w:val="844"/>
    <w:pPr>
      <w:spacing w:before="280" w:after="280"/>
    </w:pPr>
    <w:rPr>
      <w:sz w:val="24"/>
      <w:szCs w:val="24"/>
    </w:rPr>
  </w:style>
  <w:style w:type="paragraph" w:styleId="1077">
    <w:name w:val="Комментарий"/>
    <w:basedOn w:val="844"/>
    <w:next w:val="844"/>
    <w:link w:val="844"/>
    <w:pPr>
      <w:ind w:left="170" w:right="0" w:firstLine="0"/>
      <w:jc w:val="both"/>
      <w:spacing w:before="75" w:after="0"/>
      <w:widowControl w:val="off"/>
    </w:pPr>
    <w:rPr>
      <w:rFonts w:ascii="Times New Roman CYR" w:hAnsi="Times New Roman CYR" w:eastAsia="Times New Roman" w:cs="Times New Roman CYR"/>
      <w:color w:val="353842"/>
      <w:sz w:val="24"/>
      <w:szCs w:val="24"/>
    </w:rPr>
  </w:style>
  <w:style w:type="paragraph" w:styleId="1078">
    <w:name w:val="Информация о версии"/>
    <w:basedOn w:val="1077"/>
    <w:next w:val="844"/>
    <w:link w:val="844"/>
    <w:rPr>
      <w:i/>
      <w:iCs/>
    </w:rPr>
  </w:style>
  <w:style w:type="table" w:styleId="1079">
    <w:name w:val="Сетка таблицы"/>
    <w:basedOn w:val="852"/>
    <w:next w:val="1079"/>
    <w:link w:val="844"/>
    <w:uiPriority w:val="39"/>
    <w:tblPr/>
  </w:style>
  <w:style w:type="character" w:styleId="1080">
    <w:name w:val="highlightsearch"/>
    <w:basedOn w:val="851"/>
    <w:next w:val="1080"/>
    <w:link w:val="844"/>
  </w:style>
  <w:style w:type="character" w:styleId="1081" w:default="1">
    <w:name w:val="Default Paragraph Font"/>
    <w:uiPriority w:val="1"/>
    <w:semiHidden/>
    <w:unhideWhenUsed/>
  </w:style>
  <w:style w:type="numbering" w:styleId="1082" w:default="1">
    <w:name w:val="No List"/>
    <w:uiPriority w:val="99"/>
    <w:semiHidden/>
    <w:unhideWhenUsed/>
  </w:style>
  <w:style w:type="table" w:styleId="10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base.garant.ru/75062082/" TargetMode="External"/><Relationship Id="rId10" Type="http://schemas.openxmlformats.org/officeDocument/2006/relationships/hyperlink" Target="https://base.garant.ru/75062082/" TargetMode="External"/><Relationship Id="rId11" Type="http://schemas.openxmlformats.org/officeDocument/2006/relationships/hyperlink" Target="https://internet.garant.ru/#/document/75062082/entry/105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Российскэ Федерацие</dc:title>
  <dc:creator>Irina</dc:creator>
  <cp:lastModifiedBy>user</cp:lastModifiedBy>
  <cp:revision>12</cp:revision>
  <dcterms:created xsi:type="dcterms:W3CDTF">2025-07-16T06:13:00Z</dcterms:created>
  <dcterms:modified xsi:type="dcterms:W3CDTF">2026-01-26T08:04:09Z</dcterms:modified>
  <cp:version>1048576</cp:version>
</cp:coreProperties>
</file>